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43A9EE">
      <w:pPr>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outlineLvl w:val="9"/>
        <w:rPr>
          <w:rFonts w:hint="eastAsia" w:ascii="宋体" w:hAnsi="宋体" w:eastAsia="宋体" w:cs="宋体"/>
          <w:b/>
          <w:bCs/>
          <w:color w:val="333333"/>
          <w:sz w:val="72"/>
          <w:szCs w:val="72"/>
          <w:shd w:val="clear" w:color="auto" w:fill="FFFFFF"/>
        </w:rPr>
      </w:pPr>
    </w:p>
    <w:p w14:paraId="3F01D574">
      <w:pPr>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outlineLvl w:val="9"/>
        <w:rPr>
          <w:rFonts w:hint="eastAsia" w:ascii="宋体" w:hAnsi="宋体" w:eastAsia="宋体" w:cs="宋体"/>
          <w:b/>
          <w:bCs/>
          <w:color w:val="333333"/>
          <w:sz w:val="72"/>
          <w:szCs w:val="72"/>
          <w:shd w:val="clear" w:color="auto" w:fill="FFFFFF"/>
        </w:rPr>
      </w:pPr>
    </w:p>
    <w:p w14:paraId="58D95475">
      <w:pPr>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outlineLvl w:val="9"/>
        <w:rPr>
          <w:rFonts w:hint="eastAsia" w:ascii="宋体" w:hAnsi="宋体" w:eastAsia="宋体" w:cs="宋体"/>
          <w:b/>
          <w:bCs/>
          <w:color w:val="333333"/>
          <w:sz w:val="72"/>
          <w:szCs w:val="72"/>
        </w:rPr>
      </w:pPr>
      <w:r>
        <w:rPr>
          <w:rFonts w:hint="eastAsia" w:ascii="宋体" w:hAnsi="宋体" w:eastAsia="宋体" w:cs="宋体"/>
          <w:b/>
          <w:bCs/>
          <w:color w:val="333333"/>
          <w:sz w:val="72"/>
          <w:szCs w:val="72"/>
          <w:shd w:val="clear" w:color="auto" w:fill="FFFFFF"/>
        </w:rPr>
        <w:t>竞争性磋商文件</w:t>
      </w:r>
    </w:p>
    <w:p w14:paraId="78DEA963">
      <w:pPr>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outlineLvl w:val="9"/>
        <w:rPr>
          <w:rFonts w:hint="eastAsia" w:ascii="宋体" w:hAnsi="宋体" w:eastAsia="宋体" w:cs="宋体"/>
          <w:b/>
          <w:bCs/>
          <w:color w:val="333333"/>
          <w:sz w:val="72"/>
          <w:szCs w:val="72"/>
        </w:rPr>
      </w:pPr>
      <w:r>
        <w:rPr>
          <w:rFonts w:hint="eastAsia" w:ascii="宋体" w:hAnsi="宋体" w:eastAsia="宋体" w:cs="宋体"/>
          <w:b/>
          <w:bCs/>
          <w:color w:val="333333"/>
          <w:sz w:val="72"/>
          <w:szCs w:val="72"/>
          <w:shd w:val="clear" w:color="auto" w:fill="FFFFFF"/>
        </w:rPr>
        <w:t>（</w:t>
      </w:r>
      <w:r>
        <w:rPr>
          <w:rFonts w:hint="eastAsia" w:ascii="宋体" w:hAnsi="宋体" w:eastAsia="宋体" w:cs="宋体"/>
          <w:b/>
          <w:bCs/>
          <w:color w:val="333333"/>
          <w:sz w:val="72"/>
          <w:szCs w:val="72"/>
          <w:shd w:val="clear" w:color="auto" w:fill="FFFFFF"/>
          <w:lang w:val="en-US" w:eastAsia="zh-CN"/>
        </w:rPr>
        <w:t>货物类</w:t>
      </w:r>
      <w:r>
        <w:rPr>
          <w:rFonts w:hint="eastAsia" w:ascii="宋体" w:hAnsi="宋体" w:eastAsia="宋体" w:cs="宋体"/>
          <w:b/>
          <w:bCs/>
          <w:color w:val="333333"/>
          <w:sz w:val="72"/>
          <w:szCs w:val="72"/>
          <w:shd w:val="clear" w:color="auto" w:fill="FFFFFF"/>
        </w:rPr>
        <w:t>）</w:t>
      </w:r>
    </w:p>
    <w:p w14:paraId="34193B41">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1DC04978">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3073370A">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4C4FE8CB">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0BF84CC2">
      <w:pPr>
        <w:keepNext w:val="0"/>
        <w:keepLines w:val="0"/>
        <w:pageBreakBefore w:val="0"/>
        <w:widowControl/>
        <w:kinsoku/>
        <w:overflowPunct/>
        <w:topLinePunct w:val="0"/>
        <w:bidi w:val="0"/>
        <w:snapToGrid/>
        <w:spacing w:line="240" w:lineRule="auto"/>
        <w:jc w:val="both"/>
        <w:textAlignment w:val="auto"/>
        <w:rPr>
          <w:rFonts w:hint="eastAsia" w:ascii="宋体" w:hAnsi="宋体" w:eastAsia="宋体" w:cs="宋体"/>
          <w:b/>
          <w:bCs/>
          <w:sz w:val="27"/>
          <w:szCs w:val="27"/>
        </w:rPr>
      </w:pPr>
    </w:p>
    <w:p w14:paraId="22D347B5">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lang w:eastAsia="zh-CN"/>
        </w:rPr>
      </w:pPr>
      <w:r>
        <w:rPr>
          <w:rFonts w:hint="eastAsia" w:ascii="宋体" w:hAnsi="宋体" w:eastAsia="宋体" w:cs="宋体"/>
          <w:b/>
          <w:bCs/>
          <w:sz w:val="27"/>
          <w:szCs w:val="27"/>
        </w:rPr>
        <w:t>项目名称：</w:t>
      </w:r>
      <w:r>
        <w:rPr>
          <w:rFonts w:hint="eastAsia" w:ascii="宋体" w:hAnsi="宋体" w:eastAsia="宋体" w:cs="宋体"/>
          <w:b/>
          <w:bCs/>
          <w:sz w:val="27"/>
          <w:szCs w:val="27"/>
          <w:lang w:eastAsia="zh-CN"/>
        </w:rPr>
        <w:t>仙游县县域医共体消毒供应中心的双列货架等项目</w:t>
      </w:r>
    </w:p>
    <w:p w14:paraId="73FC7207">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highlight w:val="yellow"/>
          <w:lang w:eastAsia="zh-CN"/>
        </w:rPr>
      </w:pPr>
      <w:r>
        <w:rPr>
          <w:rFonts w:hint="eastAsia" w:ascii="宋体" w:hAnsi="宋体" w:eastAsia="宋体" w:cs="宋体"/>
          <w:b/>
          <w:bCs/>
          <w:sz w:val="27"/>
          <w:szCs w:val="27"/>
        </w:rPr>
        <w:t>项目编号：</w:t>
      </w:r>
      <w:r>
        <w:rPr>
          <w:rFonts w:hint="eastAsia" w:ascii="宋体" w:hAnsi="宋体" w:eastAsia="宋体" w:cs="宋体"/>
          <w:b/>
          <w:bCs/>
          <w:sz w:val="27"/>
          <w:szCs w:val="27"/>
          <w:lang w:eastAsia="zh-CN"/>
        </w:rPr>
        <w:t>FJHTZ20</w:t>
      </w:r>
      <w:r>
        <w:rPr>
          <w:rFonts w:hint="eastAsia" w:ascii="宋体" w:hAnsi="宋体" w:eastAsia="宋体" w:cs="宋体"/>
          <w:b/>
          <w:bCs/>
          <w:sz w:val="27"/>
          <w:szCs w:val="27"/>
          <w:highlight w:val="none"/>
          <w:lang w:eastAsia="zh-CN"/>
        </w:rPr>
        <w:t>26035</w:t>
      </w:r>
    </w:p>
    <w:p w14:paraId="270096AC">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1D1EE28D">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335A17E2">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4620BEC9">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4BE1C812">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197080F3">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lang w:eastAsia="zh-CN"/>
        </w:rPr>
      </w:pPr>
      <w:r>
        <w:rPr>
          <w:rFonts w:hint="eastAsia" w:ascii="宋体" w:hAnsi="宋体" w:eastAsia="宋体" w:cs="宋体"/>
          <w:b/>
          <w:bCs/>
          <w:sz w:val="27"/>
          <w:szCs w:val="27"/>
        </w:rPr>
        <w:t>采购人：</w:t>
      </w:r>
      <w:r>
        <w:rPr>
          <w:rFonts w:hint="eastAsia" w:ascii="宋体" w:hAnsi="宋体" w:eastAsia="宋体" w:cs="宋体"/>
          <w:b/>
          <w:bCs/>
          <w:sz w:val="27"/>
          <w:szCs w:val="27"/>
          <w:lang w:eastAsia="zh-CN"/>
        </w:rPr>
        <w:t>福建省仙游县总医院</w:t>
      </w:r>
    </w:p>
    <w:p w14:paraId="6B29B5BF">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lang w:eastAsia="zh-CN"/>
        </w:rPr>
      </w:pPr>
      <w:r>
        <w:rPr>
          <w:rFonts w:hint="eastAsia" w:ascii="宋体" w:hAnsi="宋体" w:eastAsia="宋体" w:cs="宋体"/>
          <w:b/>
          <w:bCs/>
          <w:sz w:val="27"/>
          <w:szCs w:val="27"/>
        </w:rPr>
        <w:t>代理机构：</w:t>
      </w:r>
      <w:r>
        <w:rPr>
          <w:rFonts w:hint="eastAsia" w:ascii="宋体" w:hAnsi="宋体" w:eastAsia="宋体" w:cs="宋体"/>
          <w:b/>
          <w:bCs/>
          <w:sz w:val="27"/>
          <w:szCs w:val="27"/>
          <w:lang w:eastAsia="zh-CN"/>
        </w:rPr>
        <w:t>福建省宏通项目管理有限公司</w:t>
      </w:r>
    </w:p>
    <w:p w14:paraId="5111C915">
      <w:pPr>
        <w:keepNext w:val="0"/>
        <w:keepLines w:val="0"/>
        <w:pageBreakBefore w:val="0"/>
        <w:widowControl/>
        <w:shd w:val="clear" w:color="auto" w:fill="FFFFFF"/>
        <w:kinsoku/>
        <w:overflowPunct/>
        <w:topLinePunct w:val="0"/>
        <w:bidi w:val="0"/>
        <w:snapToGrid/>
        <w:spacing w:line="240" w:lineRule="auto"/>
        <w:jc w:val="center"/>
        <w:textAlignment w:val="auto"/>
        <w:rPr>
          <w:rFonts w:hint="eastAsia" w:ascii="宋体" w:hAnsi="宋体" w:eastAsia="宋体" w:cs="宋体"/>
          <w:b/>
          <w:bCs/>
          <w:color w:val="333333"/>
          <w:sz w:val="27"/>
          <w:szCs w:val="27"/>
        </w:rPr>
      </w:pPr>
      <w:r>
        <w:rPr>
          <w:rFonts w:hint="eastAsia" w:ascii="宋体" w:hAnsi="宋体" w:eastAsia="宋体" w:cs="宋体"/>
          <w:b/>
          <w:bCs/>
          <w:color w:val="333333"/>
          <w:sz w:val="27"/>
          <w:szCs w:val="27"/>
          <w:shd w:val="clear" w:color="auto" w:fill="FFFFFF"/>
        </w:rPr>
        <w:t>编制时间：202</w:t>
      </w:r>
      <w:r>
        <w:rPr>
          <w:rFonts w:hint="eastAsia" w:ascii="宋体" w:hAnsi="宋体" w:eastAsia="宋体" w:cs="宋体"/>
          <w:b/>
          <w:bCs/>
          <w:color w:val="333333"/>
          <w:sz w:val="27"/>
          <w:szCs w:val="27"/>
          <w:shd w:val="clear" w:color="auto" w:fill="FFFFFF"/>
          <w:lang w:val="en-US" w:eastAsia="zh-CN"/>
        </w:rPr>
        <w:t>6</w:t>
      </w:r>
      <w:r>
        <w:rPr>
          <w:rFonts w:hint="eastAsia" w:ascii="宋体" w:hAnsi="宋体" w:eastAsia="宋体" w:cs="宋体"/>
          <w:b/>
          <w:bCs/>
          <w:color w:val="333333"/>
          <w:sz w:val="27"/>
          <w:szCs w:val="27"/>
          <w:shd w:val="clear" w:color="auto" w:fill="FFFFFF"/>
        </w:rPr>
        <w:t>年</w:t>
      </w:r>
      <w:r>
        <w:rPr>
          <w:rFonts w:hint="eastAsia" w:ascii="宋体" w:hAnsi="宋体" w:eastAsia="宋体" w:cs="宋体"/>
          <w:b/>
          <w:bCs/>
          <w:color w:val="333333"/>
          <w:sz w:val="27"/>
          <w:szCs w:val="27"/>
          <w:shd w:val="clear" w:color="auto" w:fill="FFFFFF"/>
          <w:lang w:val="en-US" w:eastAsia="zh-CN"/>
        </w:rPr>
        <w:t>08</w:t>
      </w:r>
      <w:r>
        <w:rPr>
          <w:rFonts w:hint="eastAsia" w:ascii="宋体" w:hAnsi="宋体" w:eastAsia="宋体" w:cs="宋体"/>
          <w:b/>
          <w:bCs/>
          <w:color w:val="333333"/>
          <w:sz w:val="27"/>
          <w:szCs w:val="27"/>
          <w:shd w:val="clear" w:color="auto" w:fill="FFFFFF"/>
        </w:rPr>
        <w:t>月</w:t>
      </w:r>
    </w:p>
    <w:p w14:paraId="5A3B222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color w:val="333333"/>
          <w:shd w:val="clear" w:color="auto" w:fill="FFFFFF"/>
        </w:rPr>
        <w:t> </w:t>
      </w:r>
    </w:p>
    <w:p w14:paraId="04AE6604">
      <w:pPr>
        <w:rPr>
          <w:rFonts w:hint="eastAsia" w:ascii="宋体" w:hAnsi="宋体" w:eastAsia="宋体" w:cs="宋体"/>
          <w:color w:val="333333"/>
          <w:sz w:val="39"/>
          <w:szCs w:val="39"/>
          <w:shd w:val="clear" w:color="auto" w:fill="FFFFFF"/>
        </w:rPr>
      </w:pPr>
      <w:r>
        <w:rPr>
          <w:rFonts w:hint="eastAsia" w:ascii="宋体" w:hAnsi="宋体" w:eastAsia="宋体" w:cs="宋体"/>
          <w:color w:val="333333"/>
          <w:sz w:val="39"/>
          <w:szCs w:val="39"/>
          <w:shd w:val="clear" w:color="auto" w:fill="FFFFFF"/>
        </w:rPr>
        <w:br w:type="page"/>
      </w:r>
    </w:p>
    <w:p w14:paraId="6C64622B">
      <w:pPr>
        <w:pStyle w:val="3"/>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sz w:val="39"/>
          <w:szCs w:val="39"/>
          <w:shd w:val="clear" w:color="auto" w:fill="FFFFFF"/>
        </w:rPr>
        <w:sectPr>
          <w:pgSz w:w="11906" w:h="16838"/>
          <w:pgMar w:top="1134" w:right="1134" w:bottom="1134" w:left="1134" w:header="851" w:footer="992" w:gutter="0"/>
          <w:pgNumType w:start="1"/>
          <w:cols w:space="425" w:num="1"/>
          <w:docGrid w:type="lines" w:linePitch="312" w:charSpace="0"/>
        </w:sectPr>
      </w:pPr>
    </w:p>
    <w:p w14:paraId="6641C26B">
      <w:pPr>
        <w:jc w:val="center"/>
        <w:rPr>
          <w:rFonts w:hint="eastAsia"/>
          <w:b/>
          <w:bCs/>
          <w:sz w:val="32"/>
          <w:szCs w:val="40"/>
          <w:lang w:val="en-US" w:eastAsia="zh-CN"/>
        </w:rPr>
      </w:pPr>
      <w:r>
        <w:rPr>
          <w:rFonts w:hint="eastAsia"/>
          <w:b/>
          <w:bCs/>
          <w:sz w:val="32"/>
          <w:szCs w:val="40"/>
          <w:lang w:val="en-US" w:eastAsia="zh-CN"/>
        </w:rPr>
        <w:t>目录</w:t>
      </w:r>
    </w:p>
    <w:p w14:paraId="19449508">
      <w:pPr>
        <w:jc w:val="both"/>
        <w:rPr>
          <w:rFonts w:hint="eastAsia"/>
          <w:b/>
          <w:bCs/>
          <w:sz w:val="28"/>
          <w:szCs w:val="36"/>
          <w:lang w:val="en-US" w:eastAsia="zh-CN"/>
        </w:rPr>
      </w:pPr>
    </w:p>
    <w:p w14:paraId="2B20EE0B">
      <w:pPr>
        <w:pStyle w:val="14"/>
        <w:tabs>
          <w:tab w:val="right" w:leader="dot" w:pos="9638"/>
        </w:tabs>
        <w:spacing w:line="600" w:lineRule="auto"/>
        <w:rPr>
          <w:sz w:val="28"/>
          <w:szCs w:val="28"/>
        </w:rPr>
      </w:pPr>
      <w:r>
        <w:rPr>
          <w:rFonts w:hint="eastAsia"/>
          <w:lang w:val="en-US" w:eastAsia="zh-CN"/>
        </w:rPr>
        <w:fldChar w:fldCharType="begin"/>
      </w:r>
      <w:r>
        <w:rPr>
          <w:rFonts w:hint="eastAsia"/>
          <w:lang w:val="en-US" w:eastAsia="zh-CN"/>
        </w:rPr>
        <w:instrText xml:space="preserve">TOC \o "1-2" \h \u </w:instrText>
      </w:r>
      <w:r>
        <w:rPr>
          <w:rFonts w:hint="eastAsia"/>
          <w:lang w:val="en-US" w:eastAsia="zh-CN"/>
        </w:rPr>
        <w:fldChar w:fldCharType="separate"/>
      </w:r>
      <w:r>
        <w:rPr>
          <w:rFonts w:hint="eastAsia"/>
          <w:sz w:val="28"/>
          <w:szCs w:val="28"/>
          <w:lang w:val="en-US" w:eastAsia="zh-CN"/>
        </w:rPr>
        <w:fldChar w:fldCharType="begin"/>
      </w:r>
      <w:r>
        <w:rPr>
          <w:rFonts w:hint="eastAsia"/>
          <w:sz w:val="28"/>
          <w:szCs w:val="28"/>
          <w:lang w:val="en-US" w:eastAsia="zh-CN"/>
        </w:rPr>
        <w:instrText xml:space="preserve"> HYPERLINK \l _Toc19658 </w:instrText>
      </w:r>
      <w:r>
        <w:rPr>
          <w:rFonts w:hint="eastAsia"/>
          <w:sz w:val="28"/>
          <w:szCs w:val="28"/>
          <w:lang w:val="en-US" w:eastAsia="zh-CN"/>
        </w:rPr>
        <w:fldChar w:fldCharType="separate"/>
      </w:r>
      <w:r>
        <w:rPr>
          <w:rFonts w:hint="eastAsia" w:ascii="宋体" w:hAnsi="宋体" w:eastAsia="宋体" w:cs="宋体"/>
          <w:sz w:val="28"/>
          <w:szCs w:val="28"/>
          <w:shd w:val="clear" w:color="auto" w:fill="FFFFFF"/>
        </w:rPr>
        <w:t>第一章采购邀请书</w:t>
      </w:r>
      <w:r>
        <w:rPr>
          <w:sz w:val="28"/>
          <w:szCs w:val="28"/>
        </w:rPr>
        <w:tab/>
      </w:r>
      <w:r>
        <w:rPr>
          <w:sz w:val="28"/>
          <w:szCs w:val="28"/>
        </w:rPr>
        <w:fldChar w:fldCharType="begin"/>
      </w:r>
      <w:r>
        <w:rPr>
          <w:sz w:val="28"/>
          <w:szCs w:val="28"/>
        </w:rPr>
        <w:instrText xml:space="preserve"> PAGEREF _Toc19658 \h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fldChar w:fldCharType="end"/>
      </w:r>
    </w:p>
    <w:p w14:paraId="379A566D">
      <w:pPr>
        <w:pStyle w:val="14"/>
        <w:tabs>
          <w:tab w:val="right" w:leader="dot" w:pos="9638"/>
        </w:tabs>
        <w:spacing w:line="600" w:lineRule="auto"/>
        <w:rPr>
          <w:sz w:val="28"/>
          <w:szCs w:val="28"/>
        </w:rPr>
      </w:pPr>
      <w:r>
        <w:rPr>
          <w:rFonts w:hint="eastAsia"/>
          <w:sz w:val="28"/>
          <w:szCs w:val="28"/>
          <w:lang w:val="en-US" w:eastAsia="zh-CN"/>
        </w:rPr>
        <w:fldChar w:fldCharType="begin"/>
      </w:r>
      <w:r>
        <w:rPr>
          <w:rFonts w:hint="eastAsia"/>
          <w:sz w:val="28"/>
          <w:szCs w:val="28"/>
          <w:lang w:val="en-US" w:eastAsia="zh-CN"/>
        </w:rPr>
        <w:instrText xml:space="preserve"> HYPERLINK \l _Toc11611 </w:instrText>
      </w:r>
      <w:r>
        <w:rPr>
          <w:rFonts w:hint="eastAsia"/>
          <w:sz w:val="28"/>
          <w:szCs w:val="28"/>
          <w:lang w:val="en-US" w:eastAsia="zh-CN"/>
        </w:rPr>
        <w:fldChar w:fldCharType="separate"/>
      </w:r>
      <w:r>
        <w:rPr>
          <w:rFonts w:hint="eastAsia" w:ascii="宋体" w:hAnsi="宋体" w:eastAsia="宋体" w:cs="宋体"/>
          <w:sz w:val="28"/>
          <w:szCs w:val="28"/>
          <w:highlight w:val="none"/>
          <w:shd w:val="clear" w:color="auto" w:fill="FFFFFF"/>
        </w:rPr>
        <w:t>第二章竞争性磋商须知</w:t>
      </w:r>
      <w:r>
        <w:rPr>
          <w:sz w:val="28"/>
          <w:szCs w:val="28"/>
        </w:rPr>
        <w:tab/>
      </w:r>
      <w:r>
        <w:rPr>
          <w:sz w:val="28"/>
          <w:szCs w:val="28"/>
        </w:rPr>
        <w:fldChar w:fldCharType="begin"/>
      </w:r>
      <w:r>
        <w:rPr>
          <w:sz w:val="28"/>
          <w:szCs w:val="28"/>
        </w:rPr>
        <w:instrText xml:space="preserve"> PAGEREF _Toc11611 \h </w:instrText>
      </w:r>
      <w:r>
        <w:rPr>
          <w:sz w:val="28"/>
          <w:szCs w:val="28"/>
        </w:rPr>
        <w:fldChar w:fldCharType="separate"/>
      </w:r>
      <w:r>
        <w:rPr>
          <w:sz w:val="28"/>
          <w:szCs w:val="28"/>
        </w:rPr>
        <w:t>4</w:t>
      </w:r>
      <w:r>
        <w:rPr>
          <w:sz w:val="28"/>
          <w:szCs w:val="28"/>
        </w:rPr>
        <w:fldChar w:fldCharType="end"/>
      </w:r>
      <w:r>
        <w:rPr>
          <w:rFonts w:hint="eastAsia"/>
          <w:sz w:val="28"/>
          <w:szCs w:val="28"/>
          <w:lang w:val="en-US" w:eastAsia="zh-CN"/>
        </w:rPr>
        <w:fldChar w:fldCharType="end"/>
      </w:r>
    </w:p>
    <w:p w14:paraId="652690AA">
      <w:pPr>
        <w:pStyle w:val="14"/>
        <w:tabs>
          <w:tab w:val="right" w:leader="dot" w:pos="9638"/>
        </w:tabs>
        <w:spacing w:line="600" w:lineRule="auto"/>
        <w:rPr>
          <w:sz w:val="28"/>
          <w:szCs w:val="28"/>
        </w:rPr>
      </w:pPr>
      <w:r>
        <w:rPr>
          <w:rFonts w:hint="eastAsia"/>
          <w:sz w:val="28"/>
          <w:szCs w:val="28"/>
          <w:lang w:val="en-US" w:eastAsia="zh-CN"/>
        </w:rPr>
        <w:fldChar w:fldCharType="begin"/>
      </w:r>
      <w:r>
        <w:rPr>
          <w:rFonts w:hint="eastAsia"/>
          <w:sz w:val="28"/>
          <w:szCs w:val="28"/>
          <w:lang w:val="en-US" w:eastAsia="zh-CN"/>
        </w:rPr>
        <w:instrText xml:space="preserve"> HYPERLINK \l _Toc18287 </w:instrText>
      </w:r>
      <w:r>
        <w:rPr>
          <w:rFonts w:hint="eastAsia"/>
          <w:sz w:val="28"/>
          <w:szCs w:val="28"/>
          <w:lang w:val="en-US" w:eastAsia="zh-CN"/>
        </w:rPr>
        <w:fldChar w:fldCharType="separate"/>
      </w:r>
      <w:r>
        <w:rPr>
          <w:rFonts w:hint="eastAsia" w:ascii="宋体" w:hAnsi="宋体" w:eastAsia="宋体" w:cs="宋体"/>
          <w:sz w:val="28"/>
          <w:szCs w:val="28"/>
          <w:highlight w:val="none"/>
          <w:shd w:val="clear" w:color="auto" w:fill="FFFFFF"/>
        </w:rPr>
        <w:t>第三章采购内容及要求</w:t>
      </w:r>
      <w:r>
        <w:rPr>
          <w:sz w:val="28"/>
          <w:szCs w:val="28"/>
        </w:rPr>
        <w:tab/>
      </w:r>
      <w:r>
        <w:rPr>
          <w:sz w:val="28"/>
          <w:szCs w:val="28"/>
        </w:rPr>
        <w:fldChar w:fldCharType="begin"/>
      </w:r>
      <w:r>
        <w:rPr>
          <w:sz w:val="28"/>
          <w:szCs w:val="28"/>
        </w:rPr>
        <w:instrText xml:space="preserve"> PAGEREF _Toc18287 \h </w:instrText>
      </w:r>
      <w:r>
        <w:rPr>
          <w:sz w:val="28"/>
          <w:szCs w:val="28"/>
        </w:rPr>
        <w:fldChar w:fldCharType="separate"/>
      </w:r>
      <w:r>
        <w:rPr>
          <w:sz w:val="28"/>
          <w:szCs w:val="28"/>
        </w:rPr>
        <w:t>26</w:t>
      </w:r>
      <w:r>
        <w:rPr>
          <w:sz w:val="28"/>
          <w:szCs w:val="28"/>
        </w:rPr>
        <w:fldChar w:fldCharType="end"/>
      </w:r>
      <w:r>
        <w:rPr>
          <w:rFonts w:hint="eastAsia"/>
          <w:sz w:val="28"/>
          <w:szCs w:val="28"/>
          <w:lang w:val="en-US" w:eastAsia="zh-CN"/>
        </w:rPr>
        <w:fldChar w:fldCharType="end"/>
      </w:r>
    </w:p>
    <w:p w14:paraId="57C1587B">
      <w:pPr>
        <w:pStyle w:val="14"/>
        <w:tabs>
          <w:tab w:val="right" w:leader="dot" w:pos="9638"/>
        </w:tabs>
        <w:spacing w:line="600" w:lineRule="auto"/>
        <w:rPr>
          <w:sz w:val="28"/>
          <w:szCs w:val="28"/>
        </w:rPr>
      </w:pPr>
      <w:r>
        <w:rPr>
          <w:rFonts w:hint="eastAsia"/>
          <w:sz w:val="28"/>
          <w:szCs w:val="28"/>
          <w:lang w:val="en-US" w:eastAsia="zh-CN"/>
        </w:rPr>
        <w:fldChar w:fldCharType="begin"/>
      </w:r>
      <w:r>
        <w:rPr>
          <w:rFonts w:hint="eastAsia"/>
          <w:sz w:val="28"/>
          <w:szCs w:val="28"/>
          <w:lang w:val="en-US" w:eastAsia="zh-CN"/>
        </w:rPr>
        <w:instrText xml:space="preserve"> HYPERLINK \l _Toc20816 </w:instrText>
      </w:r>
      <w:r>
        <w:rPr>
          <w:rFonts w:hint="eastAsia"/>
          <w:sz w:val="28"/>
          <w:szCs w:val="28"/>
          <w:lang w:val="en-US" w:eastAsia="zh-CN"/>
        </w:rPr>
        <w:fldChar w:fldCharType="separate"/>
      </w:r>
      <w:r>
        <w:rPr>
          <w:rFonts w:hint="eastAsia" w:ascii="宋体" w:hAnsi="宋体" w:eastAsia="宋体" w:cs="宋体"/>
          <w:sz w:val="28"/>
          <w:szCs w:val="28"/>
          <w:shd w:val="clear" w:color="auto" w:fill="FFFFFF"/>
        </w:rPr>
        <w:t>第四章合同主要条款及格式</w:t>
      </w:r>
      <w:r>
        <w:rPr>
          <w:sz w:val="28"/>
          <w:szCs w:val="28"/>
        </w:rPr>
        <w:tab/>
      </w:r>
      <w:r>
        <w:rPr>
          <w:sz w:val="28"/>
          <w:szCs w:val="28"/>
        </w:rPr>
        <w:fldChar w:fldCharType="begin"/>
      </w:r>
      <w:r>
        <w:rPr>
          <w:sz w:val="28"/>
          <w:szCs w:val="28"/>
        </w:rPr>
        <w:instrText xml:space="preserve"> PAGEREF _Toc20816 \h </w:instrText>
      </w:r>
      <w:r>
        <w:rPr>
          <w:sz w:val="28"/>
          <w:szCs w:val="28"/>
        </w:rPr>
        <w:fldChar w:fldCharType="separate"/>
      </w:r>
      <w:r>
        <w:rPr>
          <w:sz w:val="28"/>
          <w:szCs w:val="28"/>
        </w:rPr>
        <w:t>31</w:t>
      </w:r>
      <w:r>
        <w:rPr>
          <w:sz w:val="28"/>
          <w:szCs w:val="28"/>
        </w:rPr>
        <w:fldChar w:fldCharType="end"/>
      </w:r>
      <w:r>
        <w:rPr>
          <w:rFonts w:hint="eastAsia"/>
          <w:sz w:val="28"/>
          <w:szCs w:val="28"/>
          <w:lang w:val="en-US" w:eastAsia="zh-CN"/>
        </w:rPr>
        <w:fldChar w:fldCharType="end"/>
      </w:r>
    </w:p>
    <w:p w14:paraId="3D87FFD0">
      <w:pPr>
        <w:pStyle w:val="14"/>
        <w:tabs>
          <w:tab w:val="right" w:leader="dot" w:pos="9638"/>
        </w:tabs>
        <w:spacing w:line="600" w:lineRule="auto"/>
        <w:rPr>
          <w:sz w:val="28"/>
          <w:szCs w:val="28"/>
        </w:rPr>
      </w:pPr>
      <w:r>
        <w:rPr>
          <w:rFonts w:hint="eastAsia"/>
          <w:sz w:val="28"/>
          <w:szCs w:val="28"/>
          <w:lang w:val="en-US" w:eastAsia="zh-CN"/>
        </w:rPr>
        <w:fldChar w:fldCharType="begin"/>
      </w:r>
      <w:r>
        <w:rPr>
          <w:rFonts w:hint="eastAsia"/>
          <w:sz w:val="28"/>
          <w:szCs w:val="28"/>
          <w:lang w:val="en-US" w:eastAsia="zh-CN"/>
        </w:rPr>
        <w:instrText xml:space="preserve"> HYPERLINK \l _Toc30594 </w:instrText>
      </w:r>
      <w:r>
        <w:rPr>
          <w:rFonts w:hint="eastAsia"/>
          <w:sz w:val="28"/>
          <w:szCs w:val="28"/>
          <w:lang w:val="en-US" w:eastAsia="zh-CN"/>
        </w:rPr>
        <w:fldChar w:fldCharType="separate"/>
      </w:r>
      <w:r>
        <w:rPr>
          <w:rFonts w:hint="eastAsia" w:ascii="宋体" w:hAnsi="宋体" w:eastAsia="宋体" w:cs="宋体"/>
          <w:sz w:val="28"/>
          <w:szCs w:val="28"/>
          <w:shd w:val="clear" w:color="auto" w:fill="FFFFFF"/>
        </w:rPr>
        <w:t>第五章首次响应文件格式</w:t>
      </w:r>
      <w:r>
        <w:rPr>
          <w:sz w:val="28"/>
          <w:szCs w:val="28"/>
        </w:rPr>
        <w:tab/>
      </w:r>
      <w:r>
        <w:rPr>
          <w:sz w:val="28"/>
          <w:szCs w:val="28"/>
        </w:rPr>
        <w:fldChar w:fldCharType="begin"/>
      </w:r>
      <w:r>
        <w:rPr>
          <w:sz w:val="28"/>
          <w:szCs w:val="28"/>
        </w:rPr>
        <w:instrText xml:space="preserve"> PAGEREF _Toc30594 \h </w:instrText>
      </w:r>
      <w:r>
        <w:rPr>
          <w:sz w:val="28"/>
          <w:szCs w:val="28"/>
        </w:rPr>
        <w:fldChar w:fldCharType="separate"/>
      </w:r>
      <w:r>
        <w:rPr>
          <w:sz w:val="28"/>
          <w:szCs w:val="28"/>
        </w:rPr>
        <w:t>38</w:t>
      </w:r>
      <w:r>
        <w:rPr>
          <w:sz w:val="28"/>
          <w:szCs w:val="28"/>
        </w:rPr>
        <w:fldChar w:fldCharType="end"/>
      </w:r>
      <w:r>
        <w:rPr>
          <w:rFonts w:hint="eastAsia"/>
          <w:sz w:val="28"/>
          <w:szCs w:val="28"/>
          <w:lang w:val="en-US" w:eastAsia="zh-CN"/>
        </w:rPr>
        <w:fldChar w:fldCharType="end"/>
      </w:r>
    </w:p>
    <w:p w14:paraId="2195D8ED">
      <w:pPr>
        <w:pStyle w:val="13"/>
        <w:tabs>
          <w:tab w:val="right" w:leader="dot" w:pos="9638"/>
        </w:tabs>
      </w:pPr>
    </w:p>
    <w:p w14:paraId="161EB120">
      <w:pPr>
        <w:rPr>
          <w:rFonts w:hint="eastAsia"/>
          <w:lang w:val="en-US" w:eastAsia="zh-CN"/>
        </w:rPr>
        <w:sectPr>
          <w:footerReference r:id="rId3" w:type="default"/>
          <w:pgSz w:w="11906" w:h="16838"/>
          <w:pgMar w:top="1134" w:right="1134" w:bottom="1134" w:left="1134" w:header="851" w:footer="992" w:gutter="0"/>
          <w:pgNumType w:fmt="decimal" w:start="1"/>
          <w:cols w:space="425" w:num="1"/>
          <w:docGrid w:type="lines" w:linePitch="312" w:charSpace="0"/>
        </w:sectPr>
      </w:pPr>
      <w:r>
        <w:rPr>
          <w:rFonts w:hint="eastAsia"/>
          <w:lang w:val="en-US" w:eastAsia="zh-CN"/>
        </w:rPr>
        <w:fldChar w:fldCharType="end"/>
      </w:r>
    </w:p>
    <w:p w14:paraId="0F8404AC">
      <w:pPr>
        <w:pStyle w:val="3"/>
        <w:keepNext w:val="0"/>
        <w:keepLines w:val="0"/>
        <w:pageBreakBefore w:val="0"/>
        <w:widowControl/>
        <w:shd w:val="clear" w:color="auto" w:fill="FFFFFF"/>
        <w:kinsoku/>
        <w:overflowPunct/>
        <w:topLinePunct w:val="0"/>
        <w:bidi w:val="0"/>
        <w:snapToGrid/>
        <w:spacing w:beforeAutospacing="0" w:afterAutospacing="0" w:line="240" w:lineRule="auto"/>
        <w:ind w:left="0" w:leftChars="0" w:firstLine="0" w:firstLineChars="0"/>
        <w:jc w:val="center"/>
        <w:textAlignment w:val="auto"/>
        <w:rPr>
          <w:rFonts w:hint="eastAsia" w:ascii="宋体" w:hAnsi="宋体" w:eastAsia="宋体" w:cs="宋体"/>
          <w:color w:val="333333"/>
          <w:sz w:val="39"/>
          <w:szCs w:val="39"/>
        </w:rPr>
      </w:pPr>
      <w:bookmarkStart w:id="0" w:name="_Toc19658"/>
      <w:r>
        <w:rPr>
          <w:rFonts w:hint="eastAsia" w:ascii="宋体" w:hAnsi="宋体" w:eastAsia="宋体" w:cs="宋体"/>
          <w:color w:val="333333"/>
          <w:sz w:val="39"/>
          <w:szCs w:val="39"/>
          <w:shd w:val="clear" w:color="auto" w:fill="FFFFFF"/>
        </w:rPr>
        <w:t>第一章采购邀请书</w:t>
      </w:r>
      <w:bookmarkEnd w:id="0"/>
    </w:p>
    <w:p w14:paraId="0B753668">
      <w:pPr>
        <w:pStyle w:val="15"/>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b/>
          <w:bCs/>
          <w:color w:val="333333"/>
          <w:sz w:val="28"/>
          <w:szCs w:val="28"/>
        </w:rPr>
      </w:pPr>
      <w:r>
        <w:rPr>
          <w:rFonts w:hint="eastAsia" w:ascii="宋体" w:hAnsi="宋体" w:eastAsia="宋体" w:cs="宋体"/>
          <w:b/>
          <w:bCs/>
          <w:color w:val="333333"/>
          <w:sz w:val="28"/>
          <w:szCs w:val="28"/>
          <w:shd w:val="clear" w:color="auto" w:fill="FFFFFF"/>
        </w:rPr>
        <w:t>竞争性磋商采购公告</w:t>
      </w:r>
    </w:p>
    <w:p w14:paraId="6609DA18">
      <w:pPr>
        <w:pStyle w:val="15"/>
        <w:keepNext w:val="0"/>
        <w:keepLines w:val="0"/>
        <w:pageBreakBefore w:val="0"/>
        <w:widowControl/>
        <w:shd w:val="clear" w:color="auto" w:fill="FFFFFF"/>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333333"/>
        </w:rPr>
      </w:pPr>
      <w:r>
        <w:rPr>
          <w:rFonts w:hint="eastAsia" w:ascii="宋体" w:hAnsi="宋体" w:eastAsia="宋体" w:cs="宋体"/>
          <w:color w:val="333333"/>
          <w:shd w:val="clear" w:color="auto" w:fill="FFFFFF"/>
          <w:lang w:eastAsia="zh-CN"/>
        </w:rPr>
        <w:t>福建省仙游县总医院</w:t>
      </w:r>
      <w:r>
        <w:rPr>
          <w:rFonts w:hint="eastAsia" w:ascii="宋体" w:hAnsi="宋体" w:eastAsia="宋体" w:cs="宋体"/>
          <w:color w:val="333333"/>
          <w:shd w:val="clear" w:color="auto" w:fill="FFFFFF"/>
          <w:lang w:val="en-US" w:eastAsia="zh-CN"/>
        </w:rPr>
        <w:t xml:space="preserve"> </w:t>
      </w:r>
      <w:r>
        <w:rPr>
          <w:rFonts w:hint="eastAsia" w:ascii="宋体" w:hAnsi="宋体" w:eastAsia="宋体" w:cs="宋体"/>
          <w:color w:val="333333"/>
          <w:shd w:val="clear" w:color="auto" w:fill="FFFFFF"/>
        </w:rPr>
        <w:t>已根据政府采购相关法律法规，经相应程序确定采用竞争性磋商方式组织 </w:t>
      </w:r>
      <w:r>
        <w:rPr>
          <w:rFonts w:hint="eastAsia" w:ascii="宋体" w:hAnsi="宋体" w:eastAsia="宋体" w:cs="宋体"/>
          <w:color w:val="333333"/>
          <w:shd w:val="clear" w:color="auto" w:fill="FFFFFF"/>
          <w:lang w:eastAsia="zh-CN"/>
        </w:rPr>
        <w:t>仙游县县域医共体消毒供应中心的双列货架等项目</w:t>
      </w:r>
      <w:r>
        <w:rPr>
          <w:rFonts w:hint="eastAsia" w:ascii="宋体" w:hAnsi="宋体" w:eastAsia="宋体" w:cs="宋体"/>
          <w:color w:val="333333"/>
          <w:shd w:val="clear" w:color="auto" w:fill="FFFFFF"/>
        </w:rPr>
        <w:t>（以下简称：“本项目”）的政府采购活动，现现欢迎国内合格的供应商前来参加。本项目由采购人委托</w:t>
      </w:r>
      <w:r>
        <w:rPr>
          <w:rFonts w:hint="eastAsia" w:ascii="宋体" w:hAnsi="宋体" w:eastAsia="宋体" w:cs="宋体"/>
          <w:color w:val="333333"/>
          <w:shd w:val="clear" w:color="auto" w:fill="FFFFFF"/>
          <w:lang w:eastAsia="zh-CN"/>
        </w:rPr>
        <w:t>福建省宏通项目管理有限公司</w:t>
      </w:r>
      <w:r>
        <w:rPr>
          <w:rFonts w:hint="eastAsia" w:ascii="宋体" w:hAnsi="宋体" w:eastAsia="宋体" w:cs="宋体"/>
          <w:color w:val="333333"/>
          <w:shd w:val="clear" w:color="auto" w:fill="FFFFFF"/>
        </w:rPr>
        <w:t>开展竞争性磋商活动。</w:t>
      </w:r>
    </w:p>
    <w:p w14:paraId="30F3BCE5">
      <w:pPr>
        <w:pStyle w:val="4"/>
        <w:keepNext w:val="0"/>
        <w:keepLines w:val="0"/>
        <w:pageBreakBefore w:val="0"/>
        <w:widowControl/>
        <w:shd w:val="clear" w:color="auto" w:fill="FFFFFF"/>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333333"/>
          <w:sz w:val="24"/>
          <w:szCs w:val="24"/>
          <w:lang w:eastAsia="zh-CN"/>
        </w:rPr>
      </w:pPr>
      <w:r>
        <w:rPr>
          <w:rFonts w:hint="eastAsia" w:ascii="宋体" w:hAnsi="宋体" w:eastAsia="宋体" w:cs="宋体"/>
          <w:color w:val="333333"/>
          <w:sz w:val="24"/>
          <w:szCs w:val="24"/>
          <w:shd w:val="clear" w:color="auto" w:fill="FFFFFF"/>
        </w:rPr>
        <w:t>1.项目名称：</w:t>
      </w:r>
      <w:r>
        <w:rPr>
          <w:rFonts w:hint="eastAsia" w:cs="宋体"/>
          <w:color w:val="333333"/>
          <w:sz w:val="24"/>
          <w:szCs w:val="24"/>
          <w:shd w:val="clear" w:color="auto" w:fill="FFFFFF"/>
          <w:lang w:eastAsia="zh-CN"/>
        </w:rPr>
        <w:t>仙游县县域医共体消毒供应中心的双列货架等项目</w:t>
      </w:r>
    </w:p>
    <w:p w14:paraId="598E2D7C">
      <w:pPr>
        <w:pStyle w:val="4"/>
        <w:keepNext w:val="0"/>
        <w:keepLines w:val="0"/>
        <w:pageBreakBefore w:val="0"/>
        <w:widowControl/>
        <w:shd w:val="clear" w:color="auto" w:fill="FFFFFF"/>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333333"/>
          <w:sz w:val="24"/>
          <w:szCs w:val="24"/>
          <w:lang w:eastAsia="zh-CN"/>
        </w:rPr>
      </w:pPr>
      <w:r>
        <w:rPr>
          <w:rFonts w:hint="eastAsia" w:ascii="宋体" w:hAnsi="宋体" w:eastAsia="宋体" w:cs="宋体"/>
          <w:color w:val="333333"/>
          <w:sz w:val="24"/>
          <w:szCs w:val="24"/>
          <w:shd w:val="clear" w:color="auto" w:fill="FFFFFF"/>
        </w:rPr>
        <w:t>2.备案编号：</w:t>
      </w:r>
      <w:r>
        <w:rPr>
          <w:rFonts w:hint="eastAsia" w:cs="宋体"/>
          <w:color w:val="333333"/>
          <w:sz w:val="24"/>
          <w:szCs w:val="24"/>
          <w:shd w:val="clear" w:color="auto" w:fill="FFFFFF"/>
          <w:lang w:val="en-US" w:eastAsia="zh-CN"/>
        </w:rPr>
        <w:t>/</w:t>
      </w:r>
    </w:p>
    <w:p w14:paraId="33F8F868">
      <w:pPr>
        <w:pStyle w:val="4"/>
        <w:keepNext w:val="0"/>
        <w:keepLines w:val="0"/>
        <w:pageBreakBefore w:val="0"/>
        <w:widowControl/>
        <w:shd w:val="clear" w:color="auto" w:fill="FFFFFF"/>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333333"/>
          <w:sz w:val="24"/>
          <w:szCs w:val="24"/>
          <w:lang w:eastAsia="zh-CN"/>
        </w:rPr>
      </w:pPr>
      <w:r>
        <w:rPr>
          <w:rFonts w:hint="eastAsia" w:ascii="宋体" w:hAnsi="宋体" w:eastAsia="宋体" w:cs="宋体"/>
          <w:color w:val="333333"/>
          <w:sz w:val="24"/>
          <w:szCs w:val="24"/>
          <w:shd w:val="clear" w:color="auto" w:fill="FFFFFF"/>
        </w:rPr>
        <w:t>3.项目编号：</w:t>
      </w:r>
      <w:r>
        <w:rPr>
          <w:rFonts w:hint="eastAsia" w:cs="宋体"/>
          <w:color w:val="333333"/>
          <w:sz w:val="24"/>
          <w:szCs w:val="24"/>
          <w:shd w:val="clear" w:color="auto" w:fill="FFFFFF"/>
          <w:lang w:eastAsia="zh-CN"/>
        </w:rPr>
        <w:t>FJHTZ2026035</w:t>
      </w:r>
    </w:p>
    <w:p w14:paraId="23CEA2E7">
      <w:pPr>
        <w:pStyle w:val="4"/>
        <w:keepNext w:val="0"/>
        <w:keepLines w:val="0"/>
        <w:pageBreakBefore w:val="0"/>
        <w:widowControl/>
        <w:shd w:val="clear" w:color="auto" w:fill="FFFFFF"/>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shd w:val="clear" w:color="auto" w:fill="FFFFFF"/>
        </w:rPr>
        <w:t>4.采购内容及要求：</w:t>
      </w:r>
    </w:p>
    <w:p w14:paraId="4054A7E3">
      <w:pPr>
        <w:pStyle w:val="15"/>
        <w:keepNext w:val="0"/>
        <w:keepLines w:val="0"/>
        <w:pageBreakBefore w:val="0"/>
        <w:widowControl/>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color w:val="333333"/>
          <w:shd w:val="clear" w:color="auto" w:fill="FFFFFF"/>
        </w:rPr>
        <w:t>采购包1：</w:t>
      </w:r>
    </w:p>
    <w:p w14:paraId="11B6E620">
      <w:pPr>
        <w:pStyle w:val="15"/>
        <w:keepNext w:val="0"/>
        <w:keepLines w:val="0"/>
        <w:pageBreakBefore w:val="0"/>
        <w:widowControl/>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333333"/>
          <w:shd w:val="clear" w:color="auto" w:fill="FFFFFF"/>
        </w:rPr>
        <w:t>采购包预</w:t>
      </w:r>
      <w:r>
        <w:rPr>
          <w:rFonts w:hint="eastAsia" w:ascii="宋体" w:hAnsi="宋体" w:eastAsia="宋体" w:cs="宋体"/>
          <w:color w:val="auto"/>
          <w:highlight w:val="none"/>
          <w:shd w:val="clear" w:color="auto" w:fill="FFFFFF"/>
        </w:rPr>
        <w:t>算金额（元）:</w:t>
      </w:r>
      <w:r>
        <w:rPr>
          <w:rFonts w:hint="eastAsia" w:ascii="宋体" w:hAnsi="宋体" w:eastAsia="宋体" w:cs="宋体"/>
          <w:spacing w:val="0"/>
          <w:kern w:val="0"/>
          <w:sz w:val="24"/>
          <w:szCs w:val="24"/>
          <w:lang w:val="en-US" w:eastAsia="zh-CN" w:bidi="ar"/>
        </w:rPr>
        <w:t>180000.00</w:t>
      </w:r>
    </w:p>
    <w:p w14:paraId="27E338EE">
      <w:pPr>
        <w:pStyle w:val="15"/>
        <w:keepNext w:val="0"/>
        <w:keepLines w:val="0"/>
        <w:pageBreakBefore w:val="0"/>
        <w:widowControl/>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采购包最高限价（元）:</w:t>
      </w:r>
      <w:r>
        <w:rPr>
          <w:rFonts w:hint="eastAsia" w:ascii="宋体" w:hAnsi="宋体" w:eastAsia="宋体" w:cs="宋体"/>
          <w:spacing w:val="0"/>
          <w:kern w:val="0"/>
          <w:sz w:val="24"/>
          <w:szCs w:val="24"/>
          <w:lang w:val="en-US" w:eastAsia="zh-CN" w:bidi="ar"/>
        </w:rPr>
        <w:t>180000.00</w:t>
      </w:r>
    </w:p>
    <w:p w14:paraId="1C468B1D">
      <w:pPr>
        <w:pStyle w:val="15"/>
        <w:keepNext w:val="0"/>
        <w:keepLines w:val="0"/>
        <w:pageBreakBefore w:val="0"/>
        <w:widowControl/>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采购包磋商保证金金额（元）:</w:t>
      </w:r>
      <w:r>
        <w:rPr>
          <w:rFonts w:hint="eastAsia" w:ascii="宋体" w:hAnsi="宋体" w:eastAsia="宋体" w:cs="宋体"/>
          <w:color w:val="auto"/>
          <w:highlight w:val="none"/>
          <w:shd w:val="clear" w:color="auto" w:fill="FFFFFF"/>
          <w:lang w:val="en-US" w:eastAsia="zh-CN"/>
        </w:rPr>
        <w:t>1800.00</w:t>
      </w:r>
    </w:p>
    <w:tbl>
      <w:tblPr>
        <w:tblStyle w:val="19"/>
        <w:tblW w:w="5131"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984"/>
        <w:gridCol w:w="2462"/>
        <w:gridCol w:w="1288"/>
        <w:gridCol w:w="1485"/>
        <w:gridCol w:w="1257"/>
        <w:gridCol w:w="1406"/>
        <w:gridCol w:w="1255"/>
      </w:tblGrid>
      <w:tr w14:paraId="039125B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85"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A636A10">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序号</w:t>
            </w:r>
          </w:p>
        </w:tc>
        <w:tc>
          <w:tcPr>
            <w:tcW w:w="1214"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107F72D">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标的名称</w:t>
            </w:r>
          </w:p>
        </w:tc>
        <w:tc>
          <w:tcPr>
            <w:tcW w:w="635"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25FE843">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数量</w:t>
            </w:r>
          </w:p>
        </w:tc>
        <w:tc>
          <w:tcPr>
            <w:tcW w:w="732"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179C119">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标的金额（元）</w:t>
            </w:r>
          </w:p>
        </w:tc>
        <w:tc>
          <w:tcPr>
            <w:tcW w:w="62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A8AEB82">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计量单位</w:t>
            </w:r>
          </w:p>
        </w:tc>
        <w:tc>
          <w:tcPr>
            <w:tcW w:w="693"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4AA77F0">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所属行业</w:t>
            </w:r>
          </w:p>
        </w:tc>
        <w:tc>
          <w:tcPr>
            <w:tcW w:w="619"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F02FA3A">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是否允许进口产品</w:t>
            </w:r>
          </w:p>
        </w:tc>
      </w:tr>
      <w:tr w14:paraId="3FCAFD9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24" w:hRule="atLeast"/>
        </w:trPr>
        <w:tc>
          <w:tcPr>
            <w:tcW w:w="485"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913A022">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121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4438091">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仙游县县域医共体消毒供应中心的双列货架等项目</w:t>
            </w:r>
          </w:p>
        </w:tc>
        <w:tc>
          <w:tcPr>
            <w:tcW w:w="635"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8B1E42D">
            <w:pPr>
              <w:keepNext w:val="0"/>
              <w:keepLines w:val="0"/>
              <w:pageBreakBefore w:val="0"/>
              <w:widowControl/>
              <w:kinsoku/>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1.00</w:t>
            </w:r>
          </w:p>
        </w:tc>
        <w:tc>
          <w:tcPr>
            <w:tcW w:w="732"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1A63BFC">
            <w:pPr>
              <w:keepNext w:val="0"/>
              <w:keepLines w:val="0"/>
              <w:pageBreakBefore w:val="0"/>
              <w:widowControl/>
              <w:kinsoku/>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spacing w:val="0"/>
                <w:kern w:val="0"/>
                <w:sz w:val="24"/>
                <w:szCs w:val="24"/>
                <w:lang w:val="en-US" w:eastAsia="zh-CN" w:bidi="ar"/>
              </w:rPr>
              <w:t>180000.00</w:t>
            </w:r>
          </w:p>
        </w:tc>
        <w:tc>
          <w:tcPr>
            <w:tcW w:w="62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82C2A3D">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批</w:t>
            </w:r>
          </w:p>
        </w:tc>
        <w:tc>
          <w:tcPr>
            <w:tcW w:w="693"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C5E0E4B">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lang w:eastAsia="zh-CN"/>
              </w:rPr>
            </w:pPr>
            <w:r>
              <w:rPr>
                <w:rFonts w:hint="eastAsia" w:ascii="宋体" w:hAnsi="宋体" w:eastAsia="宋体" w:cs="宋体"/>
                <w:spacing w:val="0"/>
                <w:kern w:val="0"/>
                <w:sz w:val="24"/>
                <w:szCs w:val="24"/>
                <w:highlight w:val="none"/>
                <w:lang w:val="en-US" w:eastAsia="zh-CN" w:bidi="ar"/>
              </w:rPr>
              <w:t>工业</w:t>
            </w:r>
          </w:p>
        </w:tc>
        <w:tc>
          <w:tcPr>
            <w:tcW w:w="61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265F0C2">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r>
    </w:tbl>
    <w:p w14:paraId="6999D48C">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5.采购项目需要落实的政府采购政策：</w:t>
      </w:r>
    </w:p>
    <w:p w14:paraId="70A65939">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shd w:val="clear" w:color="auto" w:fill="FFFFFF"/>
          <w:lang w:val="en-US" w:eastAsia="zh-Hans"/>
        </w:rPr>
      </w:pPr>
      <w:r>
        <w:rPr>
          <w:rFonts w:hint="eastAsia" w:ascii="宋体" w:hAnsi="宋体" w:eastAsia="宋体" w:cs="宋体"/>
          <w:color w:val="auto"/>
          <w:highlight w:val="none"/>
          <w:shd w:val="clear" w:color="auto" w:fill="FFFFFF"/>
          <w:lang w:val="en-US" w:eastAsia="zh-Hans"/>
        </w:rPr>
        <w:t>进口产品：不适用于本项目</w:t>
      </w:r>
    </w:p>
    <w:p w14:paraId="7BBF4CFE">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shd w:val="clear" w:color="auto" w:fill="FFFFFF"/>
          <w:lang w:val="en-US" w:eastAsia="zh-Hans"/>
        </w:rPr>
      </w:pPr>
      <w:r>
        <w:rPr>
          <w:rFonts w:hint="eastAsia" w:ascii="宋体" w:hAnsi="宋体" w:eastAsia="宋体" w:cs="宋体"/>
          <w:color w:val="auto"/>
          <w:highlight w:val="none"/>
          <w:shd w:val="clear" w:color="auto" w:fill="FFFFFF"/>
          <w:lang w:val="en-US" w:eastAsia="zh-Hans"/>
        </w:rPr>
        <w:t>节能产品：适用于本项目</w:t>
      </w:r>
    </w:p>
    <w:p w14:paraId="19FA616D">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shd w:val="clear" w:color="auto" w:fill="FFFFFF"/>
          <w:lang w:val="en-US" w:eastAsia="zh-Hans"/>
        </w:rPr>
      </w:pPr>
      <w:r>
        <w:rPr>
          <w:rFonts w:hint="eastAsia" w:ascii="宋体" w:hAnsi="宋体" w:eastAsia="宋体" w:cs="宋体"/>
          <w:color w:val="auto"/>
          <w:highlight w:val="none"/>
          <w:shd w:val="clear" w:color="auto" w:fill="FFFFFF"/>
          <w:lang w:val="en-US" w:eastAsia="zh-Hans"/>
        </w:rPr>
        <w:t>环境标志产品：适用于本项目</w:t>
      </w:r>
    </w:p>
    <w:p w14:paraId="54648A0A">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shd w:val="clear" w:color="auto" w:fill="FFFFFF"/>
          <w:lang w:val="en-US" w:eastAsia="zh-Hans"/>
        </w:rPr>
      </w:pPr>
      <w:r>
        <w:rPr>
          <w:rFonts w:hint="eastAsia" w:ascii="宋体" w:hAnsi="宋体" w:eastAsia="宋体" w:cs="宋体"/>
          <w:color w:val="auto"/>
          <w:highlight w:val="none"/>
          <w:shd w:val="clear" w:color="auto" w:fill="FFFFFF"/>
          <w:lang w:val="en-US" w:eastAsia="zh-Hans"/>
        </w:rPr>
        <w:t>促进中小企业发展的相关政策：采购包1：专门面向中小企业</w:t>
      </w:r>
    </w:p>
    <w:p w14:paraId="7F50C535">
      <w:pPr>
        <w:pStyle w:val="4"/>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6.供应商的资格要求：</w:t>
      </w:r>
    </w:p>
    <w:p w14:paraId="7341A21A">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6.1法定条件：符合《中华人民共和国政府采购法》第二十二条第一款规定的条件。</w:t>
      </w:r>
    </w:p>
    <w:p w14:paraId="05C9C6D2">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6.2特定条件：</w:t>
      </w:r>
    </w:p>
    <w:p w14:paraId="003B90B5">
      <w:pPr>
        <w:pStyle w:val="15"/>
        <w:keepNext w:val="0"/>
        <w:keepLines w:val="0"/>
        <w:pageBreakBefore w:val="0"/>
        <w:widowControl/>
        <w:shd w:val="clea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采购包1：</w:t>
      </w:r>
    </w:p>
    <w:tbl>
      <w:tblPr>
        <w:tblStyle w:val="19"/>
        <w:tblW w:w="5000" w:type="pct"/>
        <w:tblInd w:w="0" w:type="dxa"/>
        <w:tblLayout w:type="autofit"/>
        <w:tblCellMar>
          <w:top w:w="0" w:type="dxa"/>
          <w:left w:w="0" w:type="dxa"/>
          <w:bottom w:w="0" w:type="dxa"/>
          <w:right w:w="0" w:type="dxa"/>
        </w:tblCellMar>
      </w:tblPr>
      <w:tblGrid>
        <w:gridCol w:w="2228"/>
        <w:gridCol w:w="7650"/>
      </w:tblGrid>
      <w:tr w14:paraId="5FCBD281">
        <w:tblPrEx>
          <w:tblCellMar>
            <w:top w:w="0" w:type="dxa"/>
            <w:left w:w="0" w:type="dxa"/>
            <w:bottom w:w="0" w:type="dxa"/>
            <w:right w:w="0" w:type="dxa"/>
          </w:tblCellMar>
        </w:tblPrEx>
        <w:tc>
          <w:tcPr>
            <w:tcW w:w="2228"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0DBB40B">
            <w:pPr>
              <w:keepNext w:val="0"/>
              <w:keepLines w:val="0"/>
              <w:pageBreakBefore w:val="0"/>
              <w:widowControl/>
              <w:shd w:val="clea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资格审查要求概况</w:t>
            </w:r>
          </w:p>
        </w:tc>
        <w:tc>
          <w:tcPr>
            <w:tcW w:w="7650"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6EC6914">
            <w:pPr>
              <w:keepNext w:val="0"/>
              <w:keepLines w:val="0"/>
              <w:pageBreakBefore w:val="0"/>
              <w:widowControl/>
              <w:shd w:val="clea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评审点具体描述</w:t>
            </w:r>
          </w:p>
        </w:tc>
      </w:tr>
      <w:tr w14:paraId="063E4912">
        <w:tblPrEx>
          <w:tblCellMar>
            <w:top w:w="0" w:type="dxa"/>
            <w:left w:w="0" w:type="dxa"/>
            <w:bottom w:w="0" w:type="dxa"/>
            <w:right w:w="0" w:type="dxa"/>
          </w:tblCellMar>
        </w:tblPrEx>
        <w:tc>
          <w:tcPr>
            <w:tcW w:w="222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80842AF">
            <w:pPr>
              <w:pStyle w:val="24"/>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资格承诺函</w:t>
            </w:r>
          </w:p>
        </w:tc>
        <w:tc>
          <w:tcPr>
            <w:tcW w:w="76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top"/>
          </w:tcPr>
          <w:p w14:paraId="17B2E591">
            <w:pPr>
              <w:pStyle w:val="24"/>
              <w:keepNext w:val="0"/>
              <w:keepLines w:val="0"/>
              <w:pageBreakBefore w:val="0"/>
              <w:widowControl w:val="0"/>
              <w:shd w:val="clea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2FB3D083">
        <w:tblPrEx>
          <w:tblCellMar>
            <w:top w:w="0" w:type="dxa"/>
            <w:left w:w="0" w:type="dxa"/>
            <w:bottom w:w="0" w:type="dxa"/>
            <w:right w:w="0" w:type="dxa"/>
          </w:tblCellMar>
        </w:tblPrEx>
        <w:tc>
          <w:tcPr>
            <w:tcW w:w="222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C2943CF">
            <w:pPr>
              <w:pStyle w:val="24"/>
              <w:keepNext w:val="0"/>
              <w:keepLines w:val="0"/>
              <w:pageBreakBefore w:val="0"/>
              <w:widowControl w:val="0"/>
              <w:shd w:val="clear"/>
              <w:kinsoku/>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r>
              <w:rPr>
                <w:rFonts w:ascii="宋体" w:hAnsi="宋体" w:eastAsia="宋体" w:cs="宋体"/>
                <w:sz w:val="24"/>
                <w:szCs w:val="24"/>
                <w:highlight w:val="none"/>
              </w:rPr>
              <w:t>本采购包属于专门面向中小企业采购</w:t>
            </w:r>
          </w:p>
        </w:tc>
        <w:tc>
          <w:tcPr>
            <w:tcW w:w="76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top"/>
          </w:tcPr>
          <w:p w14:paraId="5A118F38">
            <w:pPr>
              <w:pStyle w:val="24"/>
              <w:keepNext w:val="0"/>
              <w:keepLines w:val="0"/>
              <w:pageBreakBefore w:val="0"/>
              <w:widowControl w:val="0"/>
              <w:shd w:val="clear"/>
              <w:kinsoku/>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rPr>
            </w:pPr>
            <w:r>
              <w:rPr>
                <w:rFonts w:ascii="宋体" w:hAnsi="宋体" w:eastAsia="宋体" w:cs="宋体"/>
                <w:sz w:val="24"/>
                <w:szCs w:val="24"/>
                <w:highlight w:val="none"/>
              </w:rPr>
              <w:t>本采购包为专门面向中小企业采购，供应商须提供中小企业声明函。监狱企业、残疾人福利性单位视同小型、微型企业。</w:t>
            </w:r>
          </w:p>
        </w:tc>
      </w:tr>
    </w:tbl>
    <w:p w14:paraId="4EFD5A26">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6.3是否接受联合体形式的响应磋商：</w:t>
      </w:r>
    </w:p>
    <w:p w14:paraId="464026E5">
      <w:pPr>
        <w:pStyle w:val="15"/>
        <w:keepNext w:val="0"/>
        <w:keepLines w:val="0"/>
        <w:pageBreakBefore w:val="0"/>
        <w:widowControl/>
        <w:shd w:val="clea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采购包1：不接受</w:t>
      </w:r>
    </w:p>
    <w:p w14:paraId="2AD61554">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※根据上述资格要求，供应商响应文件中应提交的“资格证明文件”相关规定和资料要求，详见竞争性磋商须知前附表和磋商文件第五章。</w:t>
      </w:r>
    </w:p>
    <w:p w14:paraId="42130C22">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7.竞争性磋商文件获取期限：</w:t>
      </w:r>
      <w:r>
        <w:rPr>
          <w:rFonts w:ascii="宋体" w:hAnsi="宋体" w:eastAsia="宋体" w:cs="宋体"/>
          <w:color w:val="auto"/>
          <w:sz w:val="24"/>
          <w:szCs w:val="24"/>
        </w:rPr>
        <w:t>详见</w:t>
      </w:r>
      <w:r>
        <w:rPr>
          <w:rFonts w:hint="eastAsia" w:ascii="宋体" w:hAnsi="宋体" w:eastAsia="宋体" w:cs="宋体"/>
          <w:color w:val="auto"/>
          <w:sz w:val="24"/>
          <w:szCs w:val="24"/>
          <w:lang w:val="en-US" w:eastAsia="zh-CN"/>
        </w:rPr>
        <w:t>磋商</w:t>
      </w:r>
      <w:r>
        <w:rPr>
          <w:rFonts w:ascii="宋体" w:hAnsi="宋体" w:eastAsia="宋体" w:cs="宋体"/>
          <w:color w:val="auto"/>
          <w:sz w:val="24"/>
          <w:szCs w:val="24"/>
        </w:rPr>
        <w:t>公告或更正公告（若有），若不一致，以更正公告（若有）为准</w:t>
      </w:r>
      <w:r>
        <w:rPr>
          <w:rFonts w:hint="eastAsia" w:ascii="宋体" w:hAnsi="宋体" w:eastAsia="宋体" w:cs="宋体"/>
          <w:color w:val="auto"/>
          <w:sz w:val="24"/>
          <w:szCs w:val="24"/>
          <w:highlight w:val="none"/>
          <w:shd w:val="clear" w:color="auto" w:fill="FFFFFF"/>
        </w:rPr>
        <w:t>。</w:t>
      </w:r>
    </w:p>
    <w:p w14:paraId="3293069F">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7.1如果采购过程中有发出更正公告，采购人将根据实际情况确定是否延长文件获取期限，则文件获取截止时间以更正公告中的约定为准。</w:t>
      </w:r>
    </w:p>
    <w:p w14:paraId="53B9F000">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7.2竞争性磋商文件获取期限内，供应商应通过</w:t>
      </w:r>
      <w:r>
        <w:rPr>
          <w:rFonts w:hint="eastAsia" w:ascii="宋体" w:hAnsi="宋体" w:eastAsia="宋体" w:cs="宋体"/>
          <w:color w:val="auto"/>
          <w:highlight w:val="none"/>
          <w:lang w:eastAsia="zh-CN"/>
        </w:rPr>
        <w:t>福建省宏通项目管理有限公司</w:t>
      </w:r>
      <w:r>
        <w:rPr>
          <w:rFonts w:hint="eastAsia" w:ascii="宋体" w:hAnsi="宋体" w:eastAsia="宋体" w:cs="宋体"/>
          <w:color w:val="auto"/>
          <w:highlight w:val="none"/>
          <w:shd w:val="clear" w:color="auto" w:fill="FFFFFF"/>
        </w:rPr>
        <w:t>获取竞争性磋商文件，否则报价响应将被拒绝。</w:t>
      </w:r>
    </w:p>
    <w:p w14:paraId="0BAA901F">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8.获取采购文件时间、地点、方式：</w:t>
      </w:r>
    </w:p>
    <w:p w14:paraId="564F5A70">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both"/>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8</w:t>
      </w:r>
      <w:r>
        <w:rPr>
          <w:rFonts w:hint="eastAsia" w:asciiTheme="majorEastAsia" w:hAnsiTheme="majorEastAsia" w:eastAsiaTheme="majorEastAsia" w:cstheme="majorEastAsia"/>
          <w:color w:val="auto"/>
          <w:sz w:val="24"/>
          <w:szCs w:val="24"/>
          <w:highlight w:val="none"/>
        </w:rPr>
        <w:t>.1采购文件的提供期限：[</w:t>
      </w:r>
      <w:r>
        <w:rPr>
          <w:rFonts w:hint="eastAsia" w:asciiTheme="majorEastAsia" w:hAnsiTheme="majorEastAsia" w:eastAsiaTheme="majorEastAsia" w:cstheme="majorEastAsia"/>
          <w:color w:val="auto"/>
          <w:sz w:val="24"/>
          <w:szCs w:val="24"/>
          <w:highlight w:val="none"/>
          <w:lang w:eastAsia="zh-CN"/>
        </w:rPr>
        <w:t>202</w:t>
      </w:r>
      <w:r>
        <w:rPr>
          <w:rFonts w:hint="eastAsia" w:asciiTheme="majorEastAsia" w:hAnsiTheme="majorEastAsia" w:eastAsiaTheme="majorEastAsia" w:cstheme="majorEastAsia"/>
          <w:color w:val="auto"/>
          <w:sz w:val="24"/>
          <w:szCs w:val="24"/>
          <w:highlight w:val="none"/>
          <w:lang w:val="en-US" w:eastAsia="zh-CN"/>
        </w:rPr>
        <w:t>6</w:t>
      </w:r>
      <w:r>
        <w:rPr>
          <w:rFonts w:hint="eastAsia" w:asciiTheme="majorEastAsia" w:hAnsiTheme="majorEastAsia" w:eastAsiaTheme="majorEastAsia" w:cstheme="majorEastAsia"/>
          <w:color w:val="auto"/>
          <w:sz w:val="24"/>
          <w:szCs w:val="24"/>
          <w:highlight w:val="none"/>
          <w:lang w:eastAsia="zh-CN"/>
        </w:rPr>
        <w:t>年</w:t>
      </w:r>
      <w:r>
        <w:rPr>
          <w:rFonts w:hint="eastAsia" w:asciiTheme="majorEastAsia" w:hAnsiTheme="majorEastAsia" w:eastAsiaTheme="majorEastAsia" w:cstheme="majorEastAsia"/>
          <w:color w:val="auto"/>
          <w:sz w:val="24"/>
          <w:szCs w:val="24"/>
          <w:highlight w:val="none"/>
          <w:lang w:val="en-US" w:eastAsia="zh-CN"/>
        </w:rPr>
        <w:t>08</w:t>
      </w:r>
      <w:r>
        <w:rPr>
          <w:rFonts w:hint="eastAsia" w:asciiTheme="majorEastAsia" w:hAnsiTheme="majorEastAsia" w:eastAsiaTheme="majorEastAsia" w:cstheme="majorEastAsia"/>
          <w:color w:val="auto"/>
          <w:sz w:val="24"/>
          <w:szCs w:val="24"/>
          <w:highlight w:val="none"/>
          <w:lang w:eastAsia="zh-CN"/>
        </w:rPr>
        <w:t>月</w:t>
      </w:r>
      <w:r>
        <w:rPr>
          <w:rFonts w:hint="eastAsia" w:asciiTheme="majorEastAsia" w:hAnsiTheme="majorEastAsia" w:eastAsiaTheme="majorEastAsia" w:cstheme="majorEastAsia"/>
          <w:color w:val="auto"/>
          <w:sz w:val="24"/>
          <w:szCs w:val="24"/>
          <w:highlight w:val="none"/>
          <w:lang w:val="en-US" w:eastAsia="zh-CN"/>
        </w:rPr>
        <w:t>26</w:t>
      </w:r>
      <w:r>
        <w:rPr>
          <w:rFonts w:hint="eastAsia" w:asciiTheme="majorEastAsia" w:hAnsiTheme="majorEastAsia" w:eastAsiaTheme="majorEastAsia" w:cstheme="majorEastAsia"/>
          <w:color w:val="auto"/>
          <w:sz w:val="24"/>
          <w:szCs w:val="24"/>
          <w:highlight w:val="none"/>
        </w:rPr>
        <w:t>日]至[</w:t>
      </w:r>
      <w:r>
        <w:rPr>
          <w:rFonts w:hint="eastAsia" w:asciiTheme="majorEastAsia" w:hAnsiTheme="majorEastAsia" w:eastAsiaTheme="majorEastAsia" w:cstheme="majorEastAsia"/>
          <w:color w:val="auto"/>
          <w:sz w:val="24"/>
          <w:szCs w:val="24"/>
          <w:highlight w:val="none"/>
          <w:lang w:eastAsia="zh-CN"/>
        </w:rPr>
        <w:t>202</w:t>
      </w:r>
      <w:r>
        <w:rPr>
          <w:rFonts w:hint="eastAsia" w:asciiTheme="majorEastAsia" w:hAnsiTheme="majorEastAsia" w:eastAsiaTheme="majorEastAsia" w:cstheme="majorEastAsia"/>
          <w:color w:val="auto"/>
          <w:sz w:val="24"/>
          <w:szCs w:val="24"/>
          <w:highlight w:val="none"/>
          <w:lang w:val="en-US" w:eastAsia="zh-CN"/>
        </w:rPr>
        <w:t>6</w:t>
      </w:r>
      <w:r>
        <w:rPr>
          <w:rFonts w:hint="eastAsia" w:asciiTheme="majorEastAsia" w:hAnsiTheme="majorEastAsia" w:eastAsiaTheme="majorEastAsia" w:cstheme="majorEastAsia"/>
          <w:color w:val="auto"/>
          <w:sz w:val="24"/>
          <w:szCs w:val="24"/>
          <w:highlight w:val="none"/>
          <w:lang w:eastAsia="zh-CN"/>
        </w:rPr>
        <w:t>年</w:t>
      </w:r>
      <w:r>
        <w:rPr>
          <w:rFonts w:hint="eastAsia" w:asciiTheme="majorEastAsia" w:hAnsiTheme="majorEastAsia" w:eastAsiaTheme="majorEastAsia" w:cstheme="majorEastAsia"/>
          <w:color w:val="auto"/>
          <w:sz w:val="24"/>
          <w:szCs w:val="24"/>
          <w:highlight w:val="none"/>
          <w:lang w:val="en-US" w:eastAsia="zh-CN"/>
        </w:rPr>
        <w:t>09月01日</w:t>
      </w:r>
      <w:r>
        <w:rPr>
          <w:rFonts w:hint="eastAsia" w:asciiTheme="majorEastAsia" w:hAnsiTheme="majorEastAsia" w:eastAsiaTheme="majorEastAsia" w:cstheme="majorEastAsia"/>
          <w:color w:val="auto"/>
          <w:sz w:val="24"/>
          <w:szCs w:val="24"/>
          <w:highlight w:val="none"/>
        </w:rPr>
        <w:t>]，每天上午</w:t>
      </w:r>
      <w:r>
        <w:rPr>
          <w:rFonts w:hint="eastAsia" w:asciiTheme="majorEastAsia" w:hAnsiTheme="majorEastAsia" w:eastAsiaTheme="majorEastAsia" w:cstheme="majorEastAsia"/>
          <w:color w:val="auto"/>
          <w:sz w:val="24"/>
          <w:szCs w:val="24"/>
          <w:highlight w:val="none"/>
          <w:lang w:val="en-US" w:eastAsia="zh-CN"/>
        </w:rPr>
        <w:t>09</w:t>
      </w:r>
      <w:r>
        <w:rPr>
          <w:rFonts w:hint="eastAsia" w:asciiTheme="majorEastAsia" w:hAnsiTheme="majorEastAsia" w:eastAsiaTheme="majorEastAsia" w:cstheme="majorEastAsia"/>
          <w:color w:val="auto"/>
          <w:sz w:val="24"/>
          <w:szCs w:val="24"/>
          <w:highlight w:val="none"/>
        </w:rPr>
        <w:t>:00:00至12:00:00，下午1</w:t>
      </w:r>
      <w:r>
        <w:rPr>
          <w:rFonts w:hint="eastAsia" w:asciiTheme="majorEastAsia" w:hAnsiTheme="majorEastAsia" w:eastAsiaTheme="majorEastAsia" w:cstheme="majorEastAsia"/>
          <w:color w:val="auto"/>
          <w:sz w:val="24"/>
          <w:szCs w:val="24"/>
          <w:highlight w:val="none"/>
          <w:lang w:val="en-US" w:eastAsia="zh-CN"/>
        </w:rPr>
        <w:t>4</w:t>
      </w:r>
      <w:r>
        <w:rPr>
          <w:rFonts w:hint="eastAsia" w:asciiTheme="majorEastAsia" w:hAnsiTheme="majorEastAsia" w:eastAsiaTheme="majorEastAsia" w:cstheme="majorEastAsia"/>
          <w:color w:val="auto"/>
          <w:sz w:val="24"/>
          <w:szCs w:val="24"/>
          <w:highlight w:val="none"/>
        </w:rPr>
        <w:t>:00:00至</w:t>
      </w:r>
      <w:r>
        <w:rPr>
          <w:rFonts w:hint="eastAsia" w:asciiTheme="majorEastAsia" w:hAnsiTheme="majorEastAsia" w:eastAsiaTheme="majorEastAsia" w:cstheme="majorEastAsia"/>
          <w:color w:val="auto"/>
          <w:sz w:val="24"/>
          <w:szCs w:val="24"/>
          <w:highlight w:val="none"/>
          <w:lang w:val="en-US" w:eastAsia="zh-CN"/>
        </w:rPr>
        <w:t>17</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color w:val="auto"/>
          <w:sz w:val="24"/>
          <w:szCs w:val="24"/>
          <w:highlight w:val="none"/>
          <w:lang w:val="en-US" w:eastAsia="zh-CN"/>
        </w:rPr>
        <w:t>00</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color w:val="auto"/>
          <w:sz w:val="24"/>
          <w:szCs w:val="24"/>
          <w:highlight w:val="none"/>
          <w:lang w:val="en-US" w:eastAsia="zh-CN"/>
        </w:rPr>
        <w:t>00</w:t>
      </w:r>
      <w:r>
        <w:rPr>
          <w:rFonts w:hint="eastAsia" w:asciiTheme="majorEastAsia" w:hAnsiTheme="majorEastAsia" w:eastAsiaTheme="majorEastAsia" w:cstheme="majorEastAsia"/>
          <w:color w:val="auto"/>
          <w:sz w:val="24"/>
          <w:szCs w:val="24"/>
          <w:highlight w:val="none"/>
        </w:rPr>
        <w:t>（北京时间，法定节假日除外）。</w:t>
      </w:r>
    </w:p>
    <w:p w14:paraId="2C18F9B3">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both"/>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8</w:t>
      </w:r>
      <w:r>
        <w:rPr>
          <w:rFonts w:hint="eastAsia" w:asciiTheme="majorEastAsia" w:hAnsiTheme="majorEastAsia" w:eastAsiaTheme="majorEastAsia" w:cstheme="majorEastAsia"/>
          <w:color w:val="auto"/>
          <w:sz w:val="24"/>
          <w:szCs w:val="24"/>
          <w:highlight w:val="none"/>
        </w:rPr>
        <w:t>.2获取地点及方式：</w:t>
      </w:r>
      <w:r>
        <w:rPr>
          <w:rFonts w:hint="eastAsia" w:asciiTheme="majorEastAsia" w:hAnsiTheme="majorEastAsia" w:eastAsiaTheme="majorEastAsia" w:cstheme="majorEastAsia"/>
          <w:sz w:val="24"/>
          <w:szCs w:val="24"/>
          <w:highlight w:val="none"/>
        </w:rPr>
        <w:t>采用线上方式进行报名：转账备注：FJHTZ202</w:t>
      </w:r>
      <w:r>
        <w:rPr>
          <w:rFonts w:hint="eastAsia" w:asciiTheme="majorEastAsia" w:hAnsiTheme="majorEastAsia" w:eastAsiaTheme="majorEastAsia" w:cstheme="majorEastAsia"/>
          <w:sz w:val="24"/>
          <w:szCs w:val="24"/>
          <w:highlight w:val="none"/>
          <w:lang w:val="en-US" w:eastAsia="zh-CN"/>
        </w:rPr>
        <w:t>6035</w:t>
      </w:r>
      <w:r>
        <w:rPr>
          <w:rFonts w:hint="eastAsia" w:asciiTheme="majorEastAsia" w:hAnsiTheme="majorEastAsia" w:eastAsiaTheme="majorEastAsia" w:cstheme="majorEastAsia"/>
          <w:sz w:val="24"/>
          <w:szCs w:val="24"/>
          <w:highlight w:val="none"/>
        </w:rPr>
        <w:t>报名；开户名称：福建省宏通项目管理有限公司；开户行：平安银行福州分行营业部；帐号：11015281741006；转账后把转账截图、公司名称、联系人与联系方式发送到395468698@qq.com。</w:t>
      </w:r>
    </w:p>
    <w:p w14:paraId="497A4024">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both"/>
        <w:textAlignment w:val="auto"/>
        <w:rPr>
          <w:rFonts w:hint="eastAsia" w:asciiTheme="majorEastAsia" w:hAnsiTheme="majorEastAsia" w:eastAsiaTheme="majorEastAsia" w:cstheme="majorEastAsia"/>
          <w:b/>
          <w:sz w:val="24"/>
          <w:szCs w:val="24"/>
          <w:highlight w:val="none"/>
        </w:rPr>
      </w:pPr>
      <w:r>
        <w:rPr>
          <w:rFonts w:hint="eastAsia" w:asciiTheme="majorEastAsia" w:hAnsiTheme="majorEastAsia" w:eastAsiaTheme="majorEastAsia" w:cstheme="majorEastAsia"/>
          <w:sz w:val="24"/>
          <w:szCs w:val="24"/>
          <w:highlight w:val="none"/>
          <w:lang w:val="en-US" w:eastAsia="zh-CN"/>
        </w:rPr>
        <w:t>8</w:t>
      </w:r>
      <w:r>
        <w:rPr>
          <w:rFonts w:hint="eastAsia" w:asciiTheme="majorEastAsia" w:hAnsiTheme="majorEastAsia" w:eastAsiaTheme="majorEastAsia" w:cstheme="majorEastAsia"/>
          <w:sz w:val="24"/>
          <w:szCs w:val="24"/>
          <w:highlight w:val="none"/>
          <w:lang w:eastAsia="zh-CN"/>
        </w:rPr>
        <w:t>.3关于供应商名称：递交响应文件时供应商的单位名称应与报名登记的单位名称完全一致。除能提供工商管理部门出具的单位名称变更证明外，否则我司将拒绝接收响应文件。</w:t>
      </w:r>
      <w:r>
        <w:rPr>
          <w:rFonts w:hint="eastAsia" w:asciiTheme="majorEastAsia" w:hAnsiTheme="majorEastAsia" w:eastAsiaTheme="majorEastAsia" w:cstheme="majorEastAsia"/>
          <w:sz w:val="24"/>
          <w:szCs w:val="24"/>
          <w:highlight w:val="none"/>
          <w:lang w:val="en-US" w:eastAsia="zh-CN"/>
        </w:rPr>
        <w:t>协商</w:t>
      </w:r>
      <w:r>
        <w:rPr>
          <w:rFonts w:hint="eastAsia" w:asciiTheme="majorEastAsia" w:hAnsiTheme="majorEastAsia" w:eastAsiaTheme="majorEastAsia" w:cstheme="majorEastAsia"/>
          <w:sz w:val="24"/>
          <w:szCs w:val="24"/>
          <w:highlight w:val="none"/>
          <w:lang w:eastAsia="zh-CN"/>
        </w:rPr>
        <w:t>保证金出账账户名称应与供应商名称一致，否则将导致响应无效。</w:t>
      </w:r>
    </w:p>
    <w:p w14:paraId="17E4D691">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9.采购文件售价：</w:t>
      </w:r>
      <w:r>
        <w:rPr>
          <w:rFonts w:hint="eastAsia" w:cs="宋体"/>
          <w:color w:val="auto"/>
          <w:sz w:val="24"/>
          <w:szCs w:val="24"/>
          <w:highlight w:val="none"/>
          <w:shd w:val="clear" w:color="auto" w:fill="FFFFFF"/>
          <w:lang w:val="en-US" w:eastAsia="zh-CN"/>
        </w:rPr>
        <w:t>1</w:t>
      </w:r>
      <w:r>
        <w:rPr>
          <w:rFonts w:hint="eastAsia" w:ascii="宋体" w:hAnsi="宋体" w:eastAsia="宋体" w:cs="宋体"/>
          <w:color w:val="auto"/>
          <w:sz w:val="24"/>
          <w:szCs w:val="24"/>
          <w:highlight w:val="none"/>
          <w:shd w:val="clear" w:color="auto" w:fill="FFFFFF"/>
        </w:rPr>
        <w:t>00元。</w:t>
      </w:r>
    </w:p>
    <w:p w14:paraId="5D4DB51F">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10.首次响应文件递交截止时间及地点：</w:t>
      </w:r>
    </w:p>
    <w:p w14:paraId="42E4F01D">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递交截止时间及地点：[202</w:t>
      </w:r>
      <w:r>
        <w:rPr>
          <w:rFonts w:hint="eastAsia" w:asciiTheme="majorEastAsia" w:hAnsiTheme="majorEastAsia" w:eastAsiaTheme="majorEastAsia" w:cstheme="majorEastAsia"/>
          <w:color w:val="auto"/>
          <w:sz w:val="24"/>
          <w:szCs w:val="24"/>
          <w:highlight w:val="none"/>
          <w:lang w:val="en-US" w:eastAsia="zh-CN"/>
        </w:rPr>
        <w:t>6</w:t>
      </w:r>
      <w:r>
        <w:rPr>
          <w:rFonts w:hint="eastAsia" w:asciiTheme="majorEastAsia" w:hAnsiTheme="majorEastAsia" w:eastAsiaTheme="majorEastAsia" w:cstheme="majorEastAsia"/>
          <w:color w:val="auto"/>
          <w:sz w:val="24"/>
          <w:szCs w:val="24"/>
          <w:highlight w:val="none"/>
          <w:lang w:eastAsia="zh-CN"/>
        </w:rPr>
        <w:t>年</w:t>
      </w:r>
      <w:r>
        <w:rPr>
          <w:rFonts w:hint="eastAsia" w:asciiTheme="majorEastAsia" w:hAnsiTheme="majorEastAsia" w:eastAsiaTheme="majorEastAsia" w:cstheme="majorEastAsia"/>
          <w:color w:val="auto"/>
          <w:sz w:val="24"/>
          <w:szCs w:val="24"/>
          <w:highlight w:val="none"/>
          <w:lang w:val="en-US" w:eastAsia="zh-CN"/>
        </w:rPr>
        <w:t xml:space="preserve"> 09月07日</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16</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00</w:t>
      </w:r>
      <w:r>
        <w:rPr>
          <w:rFonts w:hint="eastAsia" w:asciiTheme="majorEastAsia" w:hAnsiTheme="majorEastAsia" w:eastAsiaTheme="majorEastAsia" w:cstheme="majorEastAsia"/>
          <w:color w:val="auto"/>
          <w:sz w:val="24"/>
          <w:szCs w:val="24"/>
          <w:highlight w:val="none"/>
          <w:lang w:eastAsia="zh-CN"/>
        </w:rPr>
        <w:t>:00（北京时间）福建省宏通项目管理有限公司</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color w:val="auto"/>
          <w:sz w:val="24"/>
          <w:szCs w:val="24"/>
          <w:highlight w:val="none"/>
          <w:lang w:eastAsia="zh-CN"/>
        </w:rPr>
        <w:t>福建省仙游县鲤城街道学府东路3635号</w:t>
      </w:r>
      <w:r>
        <w:rPr>
          <w:rFonts w:hint="eastAsia" w:asciiTheme="majorEastAsia" w:hAnsiTheme="majorEastAsia" w:eastAsiaTheme="majorEastAsia" w:cstheme="majorEastAsia"/>
          <w:color w:val="auto"/>
          <w:sz w:val="24"/>
          <w:szCs w:val="24"/>
          <w:highlight w:val="none"/>
        </w:rPr>
        <w:t>)</w:t>
      </w:r>
    </w:p>
    <w:p w14:paraId="7B29B9B9">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color w:val="auto"/>
          <w:highlight w:val="none"/>
        </w:rPr>
      </w:pPr>
      <w:r>
        <w:rPr>
          <w:rFonts w:hint="eastAsia" w:asciiTheme="majorEastAsia" w:hAnsiTheme="majorEastAsia" w:eastAsiaTheme="majorEastAsia" w:cstheme="majorEastAsia"/>
          <w:color w:val="auto"/>
          <w:sz w:val="24"/>
          <w:szCs w:val="24"/>
          <w:highlight w:val="none"/>
        </w:rPr>
        <w:t>供应商应在此之前将密封的首次响应文件送达本章第</w:t>
      </w:r>
      <w:r>
        <w:rPr>
          <w:rFonts w:hint="eastAsia" w:asciiTheme="majorEastAsia" w:hAnsiTheme="majorEastAsia" w:eastAsiaTheme="majorEastAsia" w:cstheme="majorEastAsia"/>
          <w:color w:val="auto"/>
          <w:sz w:val="24"/>
          <w:szCs w:val="24"/>
          <w:highlight w:val="none"/>
          <w:lang w:val="en-US" w:eastAsia="zh-CN"/>
        </w:rPr>
        <w:t>11</w:t>
      </w:r>
      <w:r>
        <w:rPr>
          <w:rFonts w:hint="eastAsia" w:asciiTheme="majorEastAsia" w:hAnsiTheme="majorEastAsia" w:eastAsiaTheme="majorEastAsia" w:cstheme="majorEastAsia"/>
          <w:color w:val="auto"/>
          <w:sz w:val="24"/>
          <w:szCs w:val="24"/>
          <w:highlight w:val="none"/>
        </w:rPr>
        <w:t>条载明的地点，逾期送达的或不符合规定的响应文件将被拒绝接收。</w:t>
      </w:r>
    </w:p>
    <w:p w14:paraId="0EAB0AE3">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11.磋商时间及地点：</w:t>
      </w:r>
    </w:p>
    <w:p w14:paraId="5527A635">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磋商时间：</w:t>
      </w:r>
      <w:r>
        <w:rPr>
          <w:rFonts w:hint="eastAsia" w:asciiTheme="majorEastAsia" w:hAnsiTheme="majorEastAsia" w:eastAsiaTheme="majorEastAsia" w:cstheme="majorEastAsia"/>
          <w:color w:val="auto"/>
          <w:sz w:val="24"/>
          <w:szCs w:val="24"/>
          <w:highlight w:val="none"/>
          <w:lang w:eastAsia="zh-CN"/>
        </w:rPr>
        <w:t>[202</w:t>
      </w:r>
      <w:r>
        <w:rPr>
          <w:rFonts w:hint="eastAsia" w:asciiTheme="majorEastAsia" w:hAnsiTheme="majorEastAsia" w:eastAsiaTheme="majorEastAsia" w:cstheme="majorEastAsia"/>
          <w:color w:val="auto"/>
          <w:sz w:val="24"/>
          <w:szCs w:val="24"/>
          <w:highlight w:val="none"/>
          <w:lang w:val="en-US" w:eastAsia="zh-CN"/>
        </w:rPr>
        <w:t>6</w:t>
      </w:r>
      <w:r>
        <w:rPr>
          <w:rFonts w:hint="eastAsia" w:asciiTheme="majorEastAsia" w:hAnsiTheme="majorEastAsia" w:eastAsiaTheme="majorEastAsia" w:cstheme="majorEastAsia"/>
          <w:color w:val="auto"/>
          <w:sz w:val="24"/>
          <w:szCs w:val="24"/>
          <w:highlight w:val="none"/>
          <w:lang w:eastAsia="zh-CN"/>
        </w:rPr>
        <w:t>年</w:t>
      </w:r>
      <w:r>
        <w:rPr>
          <w:rFonts w:hint="eastAsia" w:asciiTheme="majorEastAsia" w:hAnsiTheme="majorEastAsia" w:eastAsiaTheme="majorEastAsia" w:cstheme="majorEastAsia"/>
          <w:color w:val="auto"/>
          <w:sz w:val="24"/>
          <w:szCs w:val="24"/>
          <w:highlight w:val="none"/>
          <w:lang w:val="en-US" w:eastAsia="zh-CN"/>
        </w:rPr>
        <w:t>09月07日</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16</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0</w:t>
      </w:r>
      <w:r>
        <w:rPr>
          <w:rFonts w:hint="eastAsia" w:asciiTheme="majorEastAsia" w:hAnsiTheme="majorEastAsia" w:eastAsiaTheme="majorEastAsia" w:cstheme="majorEastAsia"/>
          <w:color w:val="auto"/>
          <w:sz w:val="24"/>
          <w:szCs w:val="24"/>
          <w:highlight w:val="none"/>
          <w:lang w:eastAsia="zh-CN"/>
        </w:rPr>
        <w:t>0:00（北京时间）</w:t>
      </w:r>
    </w:p>
    <w:p w14:paraId="2DF90160">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磋商地点：福建省宏通项目管理有限公司（地址：福建省仙游县鲤城街道学府东路3635号）开标室</w:t>
      </w:r>
      <w:r>
        <w:rPr>
          <w:rFonts w:hint="eastAsia" w:asciiTheme="majorEastAsia" w:hAnsiTheme="majorEastAsia" w:eastAsiaTheme="majorEastAsia" w:cstheme="majorEastAsia"/>
          <w:color w:val="auto"/>
          <w:sz w:val="24"/>
          <w:szCs w:val="24"/>
          <w:highlight w:val="none"/>
        </w:rPr>
        <w:t>。</w:t>
      </w:r>
    </w:p>
    <w:p w14:paraId="771B983F">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12.竞争性磋商公告期限：</w:t>
      </w:r>
    </w:p>
    <w:p w14:paraId="011D5EDF">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自财指定的政府采购信息发布媒体最先发布公告之日起3个工作日。</w:t>
      </w:r>
    </w:p>
    <w:p w14:paraId="43993941">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shd w:val="clear" w:color="auto" w:fill="FFFFFF"/>
        </w:rPr>
        <w:t>13、采购人：</w:t>
      </w:r>
      <w:r>
        <w:rPr>
          <w:rFonts w:hint="eastAsia" w:cs="宋体"/>
          <w:color w:val="auto"/>
          <w:sz w:val="24"/>
          <w:szCs w:val="24"/>
          <w:highlight w:val="none"/>
          <w:shd w:val="clear" w:color="auto" w:fill="FFFFFF"/>
          <w:lang w:eastAsia="zh-CN"/>
        </w:rPr>
        <w:t>福建省仙游县总医院</w:t>
      </w:r>
    </w:p>
    <w:p w14:paraId="5B24D7B6">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shd w:val="clear" w:color="auto" w:fill="FFFFFF"/>
        </w:rPr>
        <w:t>地址：</w:t>
      </w:r>
      <w:r>
        <w:rPr>
          <w:rFonts w:hint="eastAsia" w:ascii="宋体" w:hAnsi="宋体" w:eastAsia="宋体" w:cs="宋体"/>
          <w:color w:val="auto"/>
          <w:highlight w:val="none"/>
          <w:shd w:val="clear" w:color="auto" w:fill="FFFFFF"/>
          <w:lang w:eastAsia="zh-CN"/>
        </w:rPr>
        <w:t>仙游县鲤城街道清源东路1999号</w:t>
      </w:r>
    </w:p>
    <w:p w14:paraId="732D81DA">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u w:val="none"/>
          <w:lang w:eastAsia="zh-CN"/>
        </w:rPr>
      </w:pPr>
      <w:r>
        <w:rPr>
          <w:rFonts w:hint="eastAsia" w:ascii="宋体" w:hAnsi="宋体" w:eastAsia="宋体" w:cs="宋体"/>
          <w:color w:val="auto"/>
          <w:highlight w:val="none"/>
          <w:u w:val="none"/>
          <w:shd w:val="clear" w:color="auto" w:fill="FFFFFF"/>
        </w:rPr>
        <w:t>邮编：</w:t>
      </w:r>
      <w:r>
        <w:rPr>
          <w:rFonts w:hint="eastAsia" w:ascii="宋体" w:hAnsi="宋体" w:eastAsia="宋体" w:cs="宋体"/>
          <w:color w:val="auto"/>
          <w:highlight w:val="none"/>
          <w:u w:val="none"/>
          <w:shd w:val="clear" w:color="auto" w:fill="FFFFFF"/>
          <w:lang w:eastAsia="zh-CN"/>
        </w:rPr>
        <w:t>351200</w:t>
      </w:r>
    </w:p>
    <w:p w14:paraId="283516F1">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default" w:ascii="宋体" w:hAnsi="宋体" w:eastAsia="宋体" w:cs="宋体"/>
          <w:color w:val="auto"/>
          <w:highlight w:val="none"/>
          <w:u w:val="none"/>
          <w:lang w:val="en-US" w:eastAsia="zh-CN"/>
        </w:rPr>
      </w:pPr>
      <w:r>
        <w:rPr>
          <w:rFonts w:hint="eastAsia" w:ascii="宋体" w:hAnsi="宋体" w:eastAsia="宋体" w:cs="宋体"/>
          <w:color w:val="auto"/>
          <w:highlight w:val="none"/>
          <w:u w:val="none"/>
          <w:shd w:val="clear" w:color="auto" w:fill="FFFFFF"/>
        </w:rPr>
        <w:t>联系人：</w:t>
      </w:r>
      <w:r>
        <w:rPr>
          <w:rFonts w:hint="eastAsia" w:ascii="宋体" w:hAnsi="宋体" w:eastAsia="宋体" w:cs="宋体"/>
          <w:color w:val="auto"/>
          <w:highlight w:val="none"/>
          <w:u w:val="none"/>
          <w:shd w:val="clear" w:color="auto" w:fill="FFFFFF"/>
          <w:lang w:val="en-US" w:eastAsia="zh-CN"/>
        </w:rPr>
        <w:t>杨文凌</w:t>
      </w:r>
    </w:p>
    <w:p w14:paraId="49760D7C">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default" w:ascii="宋体" w:hAnsi="宋体" w:eastAsia="宋体" w:cs="宋体"/>
          <w:color w:val="auto"/>
          <w:highlight w:val="none"/>
          <w:u w:val="none"/>
          <w:lang w:val="en-US" w:eastAsia="zh-CN"/>
        </w:rPr>
      </w:pPr>
      <w:r>
        <w:rPr>
          <w:rFonts w:hint="eastAsia" w:ascii="宋体" w:hAnsi="宋体" w:eastAsia="宋体" w:cs="宋体"/>
          <w:color w:val="auto"/>
          <w:highlight w:val="none"/>
          <w:u w:val="none"/>
          <w:shd w:val="clear" w:color="auto" w:fill="FFFFFF"/>
        </w:rPr>
        <w:t>联系电话：</w:t>
      </w:r>
      <w:r>
        <w:rPr>
          <w:rFonts w:hint="eastAsia" w:ascii="宋体" w:hAnsi="宋体" w:eastAsia="宋体" w:cs="宋体"/>
          <w:color w:val="auto"/>
          <w:highlight w:val="none"/>
          <w:u w:val="none"/>
          <w:shd w:val="clear" w:color="auto" w:fill="FFFFFF"/>
          <w:lang w:val="en-US" w:eastAsia="zh-CN"/>
        </w:rPr>
        <w:t xml:space="preserve">13599854444 </w:t>
      </w:r>
      <w:bookmarkStart w:id="16" w:name="_GoBack"/>
      <w:bookmarkEnd w:id="16"/>
    </w:p>
    <w:p w14:paraId="3A2441C1">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shd w:val="clear" w:color="auto" w:fill="FFFFFF"/>
        </w:rPr>
        <w:t>14、代理机构：</w:t>
      </w:r>
      <w:r>
        <w:rPr>
          <w:rFonts w:hint="eastAsia" w:cs="宋体"/>
          <w:color w:val="auto"/>
          <w:sz w:val="24"/>
          <w:szCs w:val="24"/>
          <w:highlight w:val="none"/>
          <w:shd w:val="clear" w:color="auto" w:fill="FFFFFF"/>
          <w:lang w:eastAsia="zh-CN"/>
        </w:rPr>
        <w:t>福建省宏通项目管理有限公司</w:t>
      </w:r>
    </w:p>
    <w:p w14:paraId="4FCE216C">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shd w:val="clear" w:color="auto" w:fill="FFFFFF"/>
        </w:rPr>
        <w:t>地址：</w:t>
      </w:r>
      <w:r>
        <w:rPr>
          <w:rFonts w:hint="eastAsia" w:ascii="宋体" w:hAnsi="宋体" w:eastAsia="宋体" w:cs="宋体"/>
          <w:color w:val="auto"/>
          <w:highlight w:val="none"/>
          <w:shd w:val="clear" w:color="auto" w:fill="FFFFFF"/>
          <w:lang w:eastAsia="zh-CN"/>
        </w:rPr>
        <w:t>福建省仙游县鲤城街道学府东路3635号</w:t>
      </w:r>
    </w:p>
    <w:p w14:paraId="0371F9AB">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shd w:val="clear" w:color="auto" w:fill="FFFFFF"/>
        </w:rPr>
        <w:t>邮编：</w:t>
      </w:r>
      <w:r>
        <w:rPr>
          <w:rFonts w:hint="eastAsia" w:ascii="宋体" w:hAnsi="宋体" w:eastAsia="宋体" w:cs="宋体"/>
          <w:color w:val="auto"/>
          <w:highlight w:val="none"/>
          <w:shd w:val="clear" w:color="auto" w:fill="FFFFFF"/>
          <w:lang w:eastAsia="zh-CN"/>
        </w:rPr>
        <w:t>351200</w:t>
      </w:r>
    </w:p>
    <w:p w14:paraId="2E906F8F">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shd w:val="clear" w:color="auto" w:fill="FFFFFF"/>
        </w:rPr>
        <w:t>联系人：</w:t>
      </w:r>
      <w:r>
        <w:rPr>
          <w:rFonts w:hint="eastAsia" w:ascii="宋体" w:hAnsi="宋体" w:eastAsia="宋体" w:cs="宋体"/>
          <w:color w:val="auto"/>
          <w:highlight w:val="none"/>
          <w:shd w:val="clear" w:color="auto" w:fill="FFFFFF"/>
          <w:lang w:val="en-US" w:eastAsia="zh-CN"/>
        </w:rPr>
        <w:t>林益廉</w:t>
      </w:r>
    </w:p>
    <w:p w14:paraId="4C71EEBA">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shd w:val="clear" w:color="auto" w:fill="FFFFFF"/>
        </w:rPr>
        <w:t>联系电话：</w:t>
      </w:r>
      <w:r>
        <w:rPr>
          <w:rFonts w:hint="eastAsia" w:ascii="宋体" w:hAnsi="宋体" w:eastAsia="宋体" w:cs="宋体"/>
          <w:color w:val="auto"/>
          <w:highlight w:val="none"/>
          <w:shd w:val="clear" w:color="auto" w:fill="FFFFFF"/>
          <w:lang w:eastAsia="zh-CN"/>
        </w:rPr>
        <w:t>15260999977</w:t>
      </w:r>
    </w:p>
    <w:p w14:paraId="68387308">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shd w:val="clear" w:color="auto" w:fill="FFFFFF"/>
        </w:rPr>
        <w:t>附1：购买采购文件和提交磋商保证金的银行账户信息</w:t>
      </w:r>
    </w:p>
    <w:tbl>
      <w:tblPr>
        <w:tblStyle w:val="19"/>
        <w:tblW w:w="516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187"/>
      </w:tblGrid>
      <w:tr w14:paraId="34364A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5000" w:type="pct"/>
          </w:tcPr>
          <w:p w14:paraId="5622826A">
            <w:pPr>
              <w:keepNext w:val="0"/>
              <w:keepLines w:val="0"/>
              <w:pageBreakBefore w:val="0"/>
              <w:kinsoku/>
              <w:overflowPunct/>
              <w:topLinePunct w:val="0"/>
              <w:autoSpaceDE/>
              <w:autoSpaceDN/>
              <w:bidi w:val="0"/>
              <w:adjustRightInd/>
              <w:snapToGrid/>
              <w:spacing w:line="240" w:lineRule="auto"/>
              <w:jc w:val="center"/>
              <w:textAlignment w:val="auto"/>
              <w:rPr>
                <w:rFonts w:hint="default" w:ascii="Calibri" w:hAnsi="Calibri" w:eastAsia="宋体" w:cs="Times New Roman"/>
                <w:color w:val="auto"/>
                <w:sz w:val="24"/>
                <w:szCs w:val="24"/>
                <w:lang w:val="en-US" w:eastAsia="zh-CN" w:bidi="ar-SA"/>
              </w:rPr>
            </w:pPr>
            <w:r>
              <w:rPr>
                <w:rFonts w:hint="eastAsia" w:ascii="Calibri" w:hAnsi="Calibri" w:eastAsia="宋体" w:cs="Times New Roman"/>
                <w:b/>
                <w:color w:val="auto"/>
                <w:sz w:val="24"/>
                <w:szCs w:val="24"/>
                <w:lang w:val="en-US" w:eastAsia="zh-CN" w:bidi="ar-SA"/>
              </w:rPr>
              <w:t>银行账户</w:t>
            </w:r>
          </w:p>
        </w:tc>
      </w:tr>
      <w:tr w14:paraId="40F56C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87" w:type="dxa"/>
            <w:vAlign w:val="top"/>
          </w:tcPr>
          <w:p w14:paraId="40416258">
            <w:pPr>
              <w:pStyle w:val="24"/>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Calibri" w:hAnsi="Calibri" w:eastAsia="宋体" w:cs="Times New Roman"/>
                <w:color w:val="auto"/>
                <w:sz w:val="24"/>
                <w:szCs w:val="24"/>
                <w:lang w:val="en-US" w:eastAsia="zh-CN" w:bidi="ar-SA"/>
              </w:rPr>
            </w:pPr>
            <w:r>
              <w:rPr>
                <w:rFonts w:hint="eastAsia" w:asciiTheme="majorEastAsia" w:hAnsiTheme="majorEastAsia" w:eastAsiaTheme="majorEastAsia" w:cstheme="majorEastAsia"/>
                <w:sz w:val="24"/>
                <w:szCs w:val="24"/>
                <w:lang w:eastAsia="zh-CN"/>
              </w:rPr>
              <w:t>开户名称：福建省宏通项目管理有限公司</w:t>
            </w:r>
          </w:p>
        </w:tc>
      </w:tr>
      <w:tr w14:paraId="0C19BF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87" w:type="dxa"/>
            <w:vAlign w:val="top"/>
          </w:tcPr>
          <w:p w14:paraId="5B65270F">
            <w:pPr>
              <w:pStyle w:val="24"/>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Calibri" w:hAnsi="Calibri" w:eastAsia="宋体" w:cs="Times New Roman"/>
                <w:b/>
                <w:color w:val="auto"/>
                <w:sz w:val="24"/>
                <w:szCs w:val="24"/>
                <w:lang w:val="en-US" w:eastAsia="zh-CN" w:bidi="ar-SA"/>
              </w:rPr>
            </w:pPr>
            <w:r>
              <w:rPr>
                <w:rFonts w:hint="eastAsia" w:asciiTheme="majorEastAsia" w:hAnsiTheme="majorEastAsia" w:eastAsiaTheme="majorEastAsia" w:cstheme="majorEastAsia"/>
                <w:sz w:val="24"/>
                <w:szCs w:val="24"/>
                <w:lang w:eastAsia="zh-CN"/>
              </w:rPr>
              <w:t>开户银行：中国民生银行股份有限公司福州屏山支行</w:t>
            </w:r>
          </w:p>
        </w:tc>
      </w:tr>
      <w:tr w14:paraId="5F00A4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87" w:type="dxa"/>
            <w:vAlign w:val="top"/>
          </w:tcPr>
          <w:p w14:paraId="1E9FAA83">
            <w:pPr>
              <w:pStyle w:val="24"/>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Calibri" w:hAnsi="Calibri" w:eastAsia="宋体" w:cs="Times New Roman"/>
                <w:b/>
                <w:color w:val="auto"/>
                <w:sz w:val="24"/>
                <w:szCs w:val="24"/>
                <w:lang w:val="en-US" w:eastAsia="zh-CN" w:bidi="ar-SA"/>
              </w:rPr>
            </w:pPr>
            <w:r>
              <w:rPr>
                <w:rFonts w:hint="eastAsia" w:asciiTheme="majorEastAsia" w:hAnsiTheme="majorEastAsia" w:eastAsiaTheme="majorEastAsia" w:cstheme="majorEastAsia"/>
                <w:sz w:val="24"/>
                <w:szCs w:val="24"/>
                <w:lang w:eastAsia="zh-CN"/>
              </w:rPr>
              <w:t>银行账号：6523 2198 0</w:t>
            </w:r>
          </w:p>
        </w:tc>
      </w:tr>
      <w:tr w14:paraId="012A8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63E94ACF">
            <w:pPr>
              <w:keepNext w:val="0"/>
              <w:keepLines w:val="0"/>
              <w:pageBreakBefore w:val="0"/>
              <w:kinsoku/>
              <w:overflowPunct/>
              <w:topLinePunct w:val="0"/>
              <w:autoSpaceDE/>
              <w:autoSpaceDN/>
              <w:bidi w:val="0"/>
              <w:adjustRightInd/>
              <w:snapToGrid/>
              <w:spacing w:line="240" w:lineRule="auto"/>
              <w:jc w:val="center"/>
              <w:textAlignment w:val="auto"/>
              <w:rPr>
                <w:rFonts w:hint="default" w:ascii="Calibri" w:hAnsi="Calibri" w:eastAsia="宋体" w:cs="Times New Roman"/>
                <w:color w:val="auto"/>
                <w:sz w:val="24"/>
                <w:szCs w:val="24"/>
                <w:lang w:val="en-US" w:eastAsia="zh-CN" w:bidi="ar-SA"/>
              </w:rPr>
            </w:pPr>
            <w:r>
              <w:rPr>
                <w:rFonts w:hint="eastAsia" w:ascii="Calibri" w:hAnsi="Calibri" w:eastAsia="宋体" w:cs="Times New Roman"/>
                <w:b/>
                <w:color w:val="auto"/>
                <w:sz w:val="24"/>
                <w:szCs w:val="24"/>
                <w:lang w:val="en-US" w:eastAsia="zh-CN" w:bidi="ar-SA"/>
              </w:rPr>
              <w:t>特别提示</w:t>
            </w:r>
          </w:p>
        </w:tc>
      </w:tr>
      <w:tr w14:paraId="5BB574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2F06B7F9">
            <w:pPr>
              <w:keepNext w:val="0"/>
              <w:keepLines w:val="0"/>
              <w:pageBreakBefore w:val="0"/>
              <w:kinsoku/>
              <w:overflowPunct/>
              <w:topLinePunct w:val="0"/>
              <w:autoSpaceDE/>
              <w:autoSpaceDN/>
              <w:bidi w:val="0"/>
              <w:adjustRightInd/>
              <w:snapToGrid/>
              <w:spacing w:line="240" w:lineRule="auto"/>
              <w:jc w:val="both"/>
              <w:textAlignment w:val="auto"/>
              <w:rPr>
                <w:rFonts w:hint="default" w:ascii="Calibri" w:hAnsi="Calibri" w:eastAsia="宋体" w:cs="Times New Roman"/>
                <w:b w:val="0"/>
                <w:bCs/>
                <w:color w:val="auto"/>
                <w:sz w:val="24"/>
                <w:szCs w:val="24"/>
                <w:lang w:val="en-US" w:eastAsia="zh-CN" w:bidi="ar-SA"/>
              </w:rPr>
            </w:pPr>
            <w:r>
              <w:rPr>
                <w:rFonts w:hint="eastAsia" w:ascii="Calibri" w:hAnsi="Calibri" w:eastAsia="宋体" w:cs="Times New Roman"/>
                <w:b w:val="0"/>
                <w:bCs/>
                <w:color w:val="auto"/>
                <w:sz w:val="24"/>
                <w:szCs w:val="24"/>
                <w:lang w:val="en-US" w:eastAsia="zh-CN" w:bidi="ar-SA"/>
              </w:rPr>
              <w:t>1、请供应商务必认真核对账户信息，将磋商保证金款项汇入对应账户，并自行承担因款项汇错而产生的一切后果。</w:t>
            </w:r>
          </w:p>
          <w:p w14:paraId="3803EF91">
            <w:pPr>
              <w:keepNext w:val="0"/>
              <w:keepLines w:val="0"/>
              <w:pageBreakBefore w:val="0"/>
              <w:kinsoku/>
              <w:overflowPunct/>
              <w:topLinePunct w:val="0"/>
              <w:autoSpaceDE/>
              <w:autoSpaceDN/>
              <w:bidi w:val="0"/>
              <w:adjustRightInd/>
              <w:snapToGrid/>
              <w:spacing w:line="240" w:lineRule="auto"/>
              <w:jc w:val="both"/>
              <w:textAlignment w:val="auto"/>
              <w:rPr>
                <w:rFonts w:hint="default" w:ascii="Calibri" w:hAnsi="Calibri" w:eastAsia="宋体" w:cs="Times New Roman"/>
                <w:color w:val="auto"/>
                <w:sz w:val="24"/>
                <w:szCs w:val="24"/>
                <w:lang w:val="en-US" w:eastAsia="zh-CN" w:bidi="ar-SA"/>
              </w:rPr>
            </w:pPr>
            <w:r>
              <w:rPr>
                <w:rFonts w:hint="eastAsia" w:ascii="Calibri" w:hAnsi="Calibri" w:eastAsia="宋体" w:cs="Times New Roman"/>
                <w:b w:val="0"/>
                <w:bCs/>
                <w:color w:val="auto"/>
                <w:sz w:val="24"/>
                <w:szCs w:val="24"/>
                <w:lang w:val="en-US" w:eastAsia="zh-CN" w:bidi="ar-SA"/>
              </w:rPr>
              <w:t>2、请供应商在转账或电汇的凭证上务必按照以下格式注明，以便核对：“（项目编号：***、采购包：***）的磋商保证金”。</w:t>
            </w:r>
          </w:p>
        </w:tc>
      </w:tr>
    </w:tbl>
    <w:p w14:paraId="309A6211">
      <w:pPr>
        <w:pStyle w:val="3"/>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sz w:val="39"/>
          <w:szCs w:val="39"/>
          <w:highlight w:val="none"/>
        </w:rPr>
      </w:pPr>
      <w:bookmarkStart w:id="1" w:name="_Toc11611"/>
      <w:r>
        <w:rPr>
          <w:rFonts w:hint="eastAsia" w:ascii="宋体" w:hAnsi="宋体" w:eastAsia="宋体" w:cs="宋体"/>
          <w:color w:val="auto"/>
          <w:sz w:val="39"/>
          <w:szCs w:val="39"/>
          <w:highlight w:val="none"/>
          <w:shd w:val="clear" w:color="auto" w:fill="FFFFFF"/>
        </w:rPr>
        <w:t>第二章竞争性磋商须知</w:t>
      </w:r>
      <w:bookmarkEnd w:id="1"/>
    </w:p>
    <w:p w14:paraId="61BEB6B1">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第1节</w:t>
      </w:r>
      <w:r>
        <w:rPr>
          <w:rFonts w:hint="eastAsia" w:cs="宋体"/>
          <w:color w:val="auto"/>
          <w:highlight w:val="none"/>
          <w:shd w:val="clear" w:color="auto" w:fill="FFFFFF"/>
          <w:lang w:val="en-US" w:eastAsia="zh-CN"/>
        </w:rPr>
        <w:t xml:space="preserve"> </w:t>
      </w:r>
      <w:r>
        <w:rPr>
          <w:rFonts w:hint="eastAsia" w:ascii="宋体" w:hAnsi="宋体" w:eastAsia="宋体" w:cs="宋体"/>
          <w:color w:val="auto"/>
          <w:highlight w:val="none"/>
          <w:shd w:val="clear" w:color="auto" w:fill="FFFFFF"/>
        </w:rPr>
        <w:t>竞争性磋商须知前附表</w:t>
      </w:r>
    </w:p>
    <w:p w14:paraId="38D3D3DB">
      <w:pPr>
        <w:pStyle w:val="5"/>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shd w:val="clear" w:color="auto" w:fill="FFFFFF"/>
        </w:rPr>
        <w:t>一、竞争性磋商须知前附表1</w:t>
      </w:r>
    </w:p>
    <w:p w14:paraId="640BA9B5">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shd w:val="clear" w:color="auto" w:fill="FFFFFF"/>
        </w:rPr>
        <w:t>竞争性磋商须知前附表是对竞争性磋商须知的补充和细化，二者如有矛盾，以前附表中的要求和规定为准</w:t>
      </w:r>
      <w:r>
        <w:rPr>
          <w:rFonts w:hint="eastAsia" w:ascii="宋体" w:hAnsi="宋体" w:eastAsia="宋体" w:cs="宋体"/>
          <w:color w:val="auto"/>
          <w:highlight w:val="none"/>
          <w:shd w:val="clear" w:color="auto" w:fill="FFFFFF"/>
          <w:lang w:eastAsia="zh-CN"/>
        </w:rPr>
        <w:t>。</w:t>
      </w:r>
    </w:p>
    <w:tbl>
      <w:tblPr>
        <w:tblStyle w:val="19"/>
        <w:tblW w:w="4996" w:type="pct"/>
        <w:tblInd w:w="0" w:type="dxa"/>
        <w:shd w:val="clear" w:color="auto" w:fill="FFFFFF"/>
        <w:tblLayout w:type="fixed"/>
        <w:tblCellMar>
          <w:top w:w="0" w:type="dxa"/>
          <w:left w:w="0" w:type="dxa"/>
          <w:bottom w:w="0" w:type="dxa"/>
          <w:right w:w="0" w:type="dxa"/>
        </w:tblCellMar>
      </w:tblPr>
      <w:tblGrid>
        <w:gridCol w:w="480"/>
        <w:gridCol w:w="977"/>
        <w:gridCol w:w="8413"/>
      </w:tblGrid>
      <w:tr w14:paraId="0E593323">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04B4C4A">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项号</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1367E0F">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条款号</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296DBAF">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编列内容</w:t>
            </w:r>
          </w:p>
        </w:tc>
      </w:tr>
      <w:tr w14:paraId="790E6869">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6E5645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384A226">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3.2.1</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44C74E1">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供应商的资格要求：见磋商文件第一章“采购公告/采购邀请书”</w:t>
            </w:r>
          </w:p>
          <w:p w14:paraId="23DB4ADC">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（1）资格证明文件资料要求：</w:t>
            </w:r>
          </w:p>
          <w:p w14:paraId="493ABBB5">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采购包1：</w:t>
            </w:r>
          </w:p>
          <w:tbl>
            <w:tblPr>
              <w:tblStyle w:val="19"/>
              <w:tblW w:w="8074" w:type="dxa"/>
              <w:tblInd w:w="1"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29"/>
              <w:gridCol w:w="2303"/>
              <w:gridCol w:w="5142"/>
            </w:tblGrid>
            <w:tr w14:paraId="4C10AC8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58464D0">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序号</w:t>
                  </w:r>
                </w:p>
              </w:tc>
              <w:tc>
                <w:tcPr>
                  <w:tcW w:w="2303"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0FE6C55">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资格审查要求概况</w:t>
                  </w:r>
                </w:p>
              </w:tc>
              <w:tc>
                <w:tcPr>
                  <w:tcW w:w="5142"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C8F4D89">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评审点具体描述</w:t>
                  </w:r>
                </w:p>
              </w:tc>
            </w:tr>
            <w:tr w14:paraId="388CF31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3F7D102">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DDD3429">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磋商响应声明</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223AC4D">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详见声明函</w:t>
                  </w:r>
                </w:p>
              </w:tc>
            </w:tr>
            <w:tr w14:paraId="04C034D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647A20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F2F49FA">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单位负责人授权书</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92C370F">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供应商（自然人除外）：若供应商代表为单位授权的委托代理人，应提供本授权书；若供应商代表为单位负责人，应在此项下提交其身份证正反面复印件，可不提供本授权书。②供应商为自然人的，可不填写本授权书。</w:t>
                  </w:r>
                </w:p>
              </w:tc>
            </w:tr>
            <w:tr w14:paraId="6FA14F4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CBD6B81">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0311569">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营业执照等证明文件</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6E50D08">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tc>
            </w:tr>
            <w:tr w14:paraId="0EFD8B6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9309AE1">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EDA8B5D">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提供财务状况报告（财务报告、或资信证明）</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C8E787B">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①供应商提供的财务报告复印件（成立年限按照提交响应文件截止时间推算）应符合下列规定：a.成立年限满1年及以上的供应商，</w:t>
                  </w:r>
                  <w:r>
                    <w:rPr>
                      <w:rFonts w:hint="eastAsia" w:asciiTheme="majorEastAsia" w:hAnsiTheme="majorEastAsia" w:eastAsiaTheme="majorEastAsia" w:cstheme="majorEastAsia"/>
                      <w:sz w:val="24"/>
                      <w:szCs w:val="24"/>
                    </w:rPr>
                    <w:t>提供经审计的上一年度的年度财务报告</w:t>
                  </w:r>
                  <w:r>
                    <w:rPr>
                      <w:rFonts w:hint="eastAsia" w:ascii="宋体" w:hAnsi="宋体" w:eastAsia="宋体" w:cs="宋体"/>
                      <w:color w:val="auto"/>
                      <w:kern w:val="0"/>
                      <w:sz w:val="24"/>
                      <w:highlight w:val="none"/>
                      <w:lang w:bidi="ar"/>
                    </w:rPr>
                    <w:t>。b.成立年限满半年但不足1年的供应商，提供该半年度中任一季度的季度财务报告或该半年度的半年度财务报告。c.无法按照以上a、b项规定提供财务报告复印件的供应商（包括但不限于：成立年限满1年及以上的供应商、成立年限满半年但不足1年的供应商、成立年限不足半年的供应商），应选择提供资信证明复印件。</w:t>
                  </w:r>
                </w:p>
              </w:tc>
            </w:tr>
            <w:tr w14:paraId="0148CF8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7BB29C1">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656491C">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依法缴纳税收证明材料</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E5B86F0">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供应商提供的税收缴纳凭据复印件应符合下列规定：a.提交响应文件截止时间前（不含提交响应文件截止时间的当月）已依法缴纳税收的供应商，提供提交响应文件截止时间前六个月（不含提交响应文件截止时间的当月）中任一月份的税收缴纳凭据复印件。b.提交响应文件截止时间的当月成立的供应商,视同满足本项资格条件要求。c.若为依法免税范围的供应商，提供依法免税证明材料的，视同满足本项资格条件要求。</w:t>
                  </w:r>
                </w:p>
              </w:tc>
            </w:tr>
            <w:tr w14:paraId="63223EC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324369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DDC7EB9">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依法缴纳社会保障资金证明材料</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2BB0C7E">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供应商提供的社会保障资金缴纳凭据复印件应符合下列规定：a.提交响应文件截止时间前（不含提交响应文件截止时间的当月）已依法缴纳社会保障资金的供应商，提供提交响应文件截止时间前六个月（不含提交响应文件截止时间的当月）中任一月份的社会保障资金缴纳凭据复印件。b.提交响应文件截止时间的当月成立的供应商，视同满足本项资格条件要求。c.若为依法不需要缴纳或暂缓缴纳社会保障资金的供应商，提供依法不需要缴纳或暂缓缴纳社会保障资金证明材料的，视同满足本项资格条件要求。</w:t>
                  </w:r>
                </w:p>
              </w:tc>
            </w:tr>
            <w:tr w14:paraId="3E8C565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F85A95D">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7</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AFCE29E">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具备履行合同所必需设备和专业技术能力的声明函(若有)</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11DDC17">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采购文件未要求供应商提供“具备履行合同所必需的设备和专业技术能力专项证明材料”的，供应商应提供本声明函。②采购文件要求供应商提供“具备履行合同所必需的设备和专业技术能力专项证明材料”的，供应商可不提供本声明函。</w:t>
                  </w:r>
                </w:p>
              </w:tc>
            </w:tr>
            <w:tr w14:paraId="7FD194F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8C3877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8</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A01BB7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参加采购活动前三年内在经营活动中没有重大违法记录的声明</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5DAF10B">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71FD62B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C077D96">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9</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DB8E0FD">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中小企业声明函（以资格条件落实中小企业扶持政策时适用）</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B5E18A5">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供应商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②供应商为监狱企业的，可不填写本声明函，根据其提供的由省级以上监狱管理局、戒毒管理局（含新疆生产建设兵团）出具的属于监狱企业的证明文件进行认定，监狱企业视同小型、微型企业。③供应商为残疾人福利性单位的，可不填写本声明函，根据其提供的《残疾人福利性单位声明函》进行认定，残疾人福利性单位视同小型、微型企业。④以联合体形式落实中小企业预留份额时，还需提供《联合体协议》。⑤以合同分包形式落实中小企业预留份额时，还需提供《分包意向协议》。</w:t>
                  </w:r>
                </w:p>
              </w:tc>
            </w:tr>
            <w:tr w14:paraId="650053E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63000E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10</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3A878D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信用记录查询结果</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BA93C5E">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信用记录查询的截止时点：信用记录查询的截止时点为本项目提交响应文件截止当日。②信用记录查询渠道：信用中国（www.creditchina.gov.cn）、中国政府采购网（www.ccgp.gov.cn）。③信用记录的查询：由磋商小组通过上述网站查询并打印供应商的信用记录。④经查询，供应商参加本项目采购活动(响应截止时间)前三年内被列入失信被执行人名单、重大税收违法案件当事人名单、政府采购严重违法失信行为记录名单及其他重大违法记录且相关信用惩戒期限未满的，其资格审查不合格。</w:t>
                  </w:r>
                </w:p>
              </w:tc>
            </w:tr>
            <w:tr w14:paraId="6937AC4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C4120B3">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11</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816D9DB">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联合体协议（若有）</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1792E63">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①采购文件接受联合体报价且供应商为联合体的，供应商应提供本协议；否则无须提供。②本协议由委托代理人签字或盖章的，应按照采购文件第五章载明的格式提供“单位负责人授权书”。</w:t>
                  </w:r>
                </w:p>
              </w:tc>
            </w:tr>
          </w:tbl>
          <w:p w14:paraId="0A464B26">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（2）特定资格条件：</w:t>
            </w:r>
          </w:p>
          <w:p w14:paraId="27C0A135">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采购包1：</w:t>
            </w:r>
          </w:p>
          <w:tbl>
            <w:tblPr>
              <w:tblStyle w:val="19"/>
              <w:tblW w:w="8331" w:type="dxa"/>
              <w:tblInd w:w="0" w:type="dxa"/>
              <w:tblLayout w:type="fixed"/>
              <w:tblCellMar>
                <w:top w:w="0" w:type="dxa"/>
                <w:left w:w="0" w:type="dxa"/>
                <w:bottom w:w="0" w:type="dxa"/>
                <w:right w:w="0" w:type="dxa"/>
              </w:tblCellMar>
            </w:tblPr>
            <w:tblGrid>
              <w:gridCol w:w="2400"/>
              <w:gridCol w:w="5931"/>
            </w:tblGrid>
            <w:tr w14:paraId="63B9EF31">
              <w:tblPrEx>
                <w:tblCellMar>
                  <w:top w:w="0" w:type="dxa"/>
                  <w:left w:w="0" w:type="dxa"/>
                  <w:bottom w:w="0" w:type="dxa"/>
                  <w:right w:w="0" w:type="dxa"/>
                </w:tblCellMar>
              </w:tblPrEx>
              <w:tc>
                <w:tcPr>
                  <w:tcW w:w="2400"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53824EA">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资格审查要求概况</w:t>
                  </w:r>
                </w:p>
              </w:tc>
              <w:tc>
                <w:tcPr>
                  <w:tcW w:w="5931"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2231B31">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评审点具体描述</w:t>
                  </w:r>
                </w:p>
              </w:tc>
            </w:tr>
            <w:tr w14:paraId="738A2BD7">
              <w:tblPrEx>
                <w:tblCellMar>
                  <w:top w:w="0" w:type="dxa"/>
                  <w:left w:w="0" w:type="dxa"/>
                  <w:bottom w:w="0" w:type="dxa"/>
                  <w:right w:w="0" w:type="dxa"/>
                </w:tblCellMar>
              </w:tblPrEx>
              <w:tc>
                <w:tcPr>
                  <w:tcW w:w="240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51D8898">
                  <w:pPr>
                    <w:pStyle w:val="2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资格承诺函</w:t>
                  </w:r>
                </w:p>
              </w:tc>
              <w:tc>
                <w:tcPr>
                  <w:tcW w:w="593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top"/>
                </w:tcPr>
                <w:p w14:paraId="2D131106">
                  <w:pPr>
                    <w:pStyle w:val="24"/>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2B89DB2D">
              <w:tblPrEx>
                <w:tblCellMar>
                  <w:top w:w="0" w:type="dxa"/>
                  <w:left w:w="0" w:type="dxa"/>
                  <w:bottom w:w="0" w:type="dxa"/>
                  <w:right w:w="0" w:type="dxa"/>
                </w:tblCellMar>
              </w:tblPrEx>
              <w:tc>
                <w:tcPr>
                  <w:tcW w:w="240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5A9C5DD">
                  <w:pPr>
                    <w:pStyle w:val="24"/>
                    <w:widowControl w:val="0"/>
                    <w:jc w:val="center"/>
                    <w:rPr>
                      <w:rFonts w:hint="eastAsia" w:ascii="宋体" w:hAnsi="宋体" w:eastAsia="宋体" w:cs="宋体"/>
                      <w:color w:val="auto"/>
                      <w:sz w:val="24"/>
                      <w:szCs w:val="24"/>
                      <w:highlight w:val="none"/>
                    </w:rPr>
                  </w:pPr>
                  <w:r>
                    <w:rPr>
                      <w:rFonts w:ascii="宋体" w:hAnsi="宋体" w:eastAsia="宋体" w:cs="宋体"/>
                      <w:sz w:val="24"/>
                      <w:szCs w:val="24"/>
                      <w:highlight w:val="none"/>
                    </w:rPr>
                    <w:t>本采购包属于专门面向中小企业采购</w:t>
                  </w:r>
                </w:p>
              </w:tc>
              <w:tc>
                <w:tcPr>
                  <w:tcW w:w="593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top"/>
                </w:tcPr>
                <w:p w14:paraId="398A4D4B">
                  <w:pPr>
                    <w:pStyle w:val="24"/>
                    <w:widowControl w:val="0"/>
                    <w:jc w:val="both"/>
                    <w:rPr>
                      <w:rFonts w:hint="eastAsia" w:ascii="宋体" w:hAnsi="宋体" w:eastAsia="宋体" w:cs="宋体"/>
                      <w:color w:val="auto"/>
                      <w:sz w:val="24"/>
                      <w:szCs w:val="24"/>
                      <w:highlight w:val="none"/>
                    </w:rPr>
                  </w:pPr>
                  <w:r>
                    <w:rPr>
                      <w:rFonts w:ascii="宋体" w:hAnsi="宋体" w:eastAsia="宋体" w:cs="宋体"/>
                      <w:sz w:val="24"/>
                      <w:szCs w:val="24"/>
                      <w:highlight w:val="none"/>
                    </w:rPr>
                    <w:t>本采购包为专门面向中小企业采购，供应商须提供中小企业声明函。监狱企业、残疾人福利性单位视同小型、微型企业。</w:t>
                  </w:r>
                </w:p>
              </w:tc>
            </w:tr>
          </w:tbl>
          <w:p w14:paraId="68DC8378">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（3）磋商保证金</w:t>
            </w:r>
          </w:p>
          <w:p w14:paraId="1C1AF805">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※备注说明</w:t>
            </w:r>
          </w:p>
          <w:p w14:paraId="774A2512">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①供应商应根据自身实际情况提供上述资格要求的证明材料，格式可参考磋商文件第五章提供。</w:t>
            </w:r>
          </w:p>
          <w:p w14:paraId="3243A05B">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②供应商提供的相应证明材料复印件均应符合：内容完整、清晰、整洁，并由供应商加盖其单位公章。</w:t>
            </w:r>
          </w:p>
          <w:p w14:paraId="742A6F8F">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③根据采购文件须知前附表1第1项号的“（2）特定资格条件”要求，允许供应商采用资格承诺制的并提供符合要求的资格承诺函，视为满足采购文件的资格要求。</w:t>
            </w:r>
          </w:p>
        </w:tc>
      </w:tr>
      <w:tr w14:paraId="06CF1D6D">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F07E49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1E1ABA0">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3.2.2</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E38125A">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是否接受联合体形式的响应磋商：</w:t>
            </w:r>
          </w:p>
          <w:p w14:paraId="273AC896">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采购包1：不接受</w:t>
            </w:r>
          </w:p>
        </w:tc>
      </w:tr>
      <w:tr w14:paraId="73C0ACF6">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9EA3122">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C5ED1B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6.3</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02ED7C6">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是否组织现场考察或召开磋商前答疑会：</w:t>
            </w:r>
          </w:p>
          <w:p w14:paraId="41100C58">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采购包1：不组织</w:t>
            </w:r>
          </w:p>
        </w:tc>
      </w:tr>
      <w:tr w14:paraId="4C505B64">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2D4CDB2">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4</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CB25A8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9.1</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3591EB3">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响应文件有效期：首次响应文件提交截止时间起90个日历日。</w:t>
            </w:r>
          </w:p>
        </w:tc>
      </w:tr>
      <w:tr w14:paraId="6EAAD8C1">
        <w:tblPrEx>
          <w:shd w:val="clear" w:color="auto" w:fill="FFFFFF"/>
          <w:tblCellMar>
            <w:top w:w="0" w:type="dxa"/>
            <w:left w:w="0" w:type="dxa"/>
            <w:bottom w:w="0" w:type="dxa"/>
            <w:right w:w="0" w:type="dxa"/>
          </w:tblCellMar>
        </w:tblPrEx>
        <w:trPr>
          <w:trHeight w:val="90" w:hRule="atLeast"/>
        </w:trPr>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E94B8E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0DBE55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10.3.1</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151BC8A">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磋商保证金退还的其它要求：无。</w:t>
            </w:r>
          </w:p>
        </w:tc>
      </w:tr>
      <w:tr w14:paraId="1129669E">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3EC4CB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6</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82A9753">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11.1</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0F9786F">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响应文件的份数</w:t>
            </w:r>
          </w:p>
          <w:p w14:paraId="45E0E857">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（1）纸质响应文件</w:t>
            </w:r>
          </w:p>
          <w:p w14:paraId="3E85B73A">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①响应文件正本</w:t>
            </w:r>
            <w:r>
              <w:rPr>
                <w:rFonts w:hint="eastAsia" w:ascii="宋体" w:hAnsi="宋体" w:eastAsia="宋体" w:cs="宋体"/>
                <w:b/>
                <w:bCs/>
                <w:color w:val="auto"/>
                <w:highlight w:val="none"/>
              </w:rPr>
              <w:t>1</w:t>
            </w:r>
            <w:r>
              <w:rPr>
                <w:rFonts w:hint="eastAsia" w:ascii="宋体" w:hAnsi="宋体" w:eastAsia="宋体" w:cs="宋体"/>
                <w:color w:val="auto"/>
                <w:highlight w:val="none"/>
              </w:rPr>
              <w:t>份、副本</w:t>
            </w:r>
            <w:r>
              <w:rPr>
                <w:rFonts w:hint="eastAsia" w:ascii="宋体" w:hAnsi="宋体" w:eastAsia="宋体" w:cs="宋体"/>
                <w:b/>
                <w:bCs/>
                <w:color w:val="auto"/>
                <w:highlight w:val="none"/>
              </w:rPr>
              <w:t>2</w:t>
            </w:r>
            <w:r>
              <w:rPr>
                <w:rFonts w:hint="eastAsia" w:ascii="宋体" w:hAnsi="宋体" w:eastAsia="宋体" w:cs="宋体"/>
                <w:color w:val="auto"/>
                <w:highlight w:val="none"/>
              </w:rPr>
              <w:t>份。</w:t>
            </w:r>
          </w:p>
          <w:p w14:paraId="02BF7BE7">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②可读介质（光盘或U盘）</w:t>
            </w:r>
            <w:r>
              <w:rPr>
                <w:rFonts w:hint="eastAsia" w:ascii="宋体" w:hAnsi="宋体" w:eastAsia="宋体" w:cs="宋体"/>
                <w:b/>
                <w:bCs/>
                <w:color w:val="auto"/>
                <w:highlight w:val="none"/>
                <w:lang w:val="en-US" w:eastAsia="zh-CN"/>
              </w:rPr>
              <w:t>1</w:t>
            </w:r>
            <w:r>
              <w:rPr>
                <w:rFonts w:hint="eastAsia" w:ascii="宋体" w:hAnsi="宋体" w:eastAsia="宋体" w:cs="宋体"/>
                <w:color w:val="auto"/>
                <w:highlight w:val="none"/>
              </w:rPr>
              <w:t>份。</w:t>
            </w:r>
            <w:r>
              <w:rPr>
                <w:rFonts w:hint="eastAsia" w:ascii="宋体" w:hAnsi="宋体" w:eastAsia="宋体" w:cs="宋体"/>
                <w:b/>
                <w:bCs/>
                <w:color w:val="auto"/>
                <w:highlight w:val="none"/>
              </w:rPr>
              <w:t>电子响应文件制作要求：</w:t>
            </w:r>
            <w:r>
              <w:rPr>
                <w:rFonts w:hint="eastAsia" w:ascii="宋体" w:hAnsi="宋体" w:eastAsia="宋体" w:cs="宋体"/>
                <w:color w:val="auto"/>
                <w:highlight w:val="none"/>
              </w:rPr>
              <w:t>正本的纸质响应文件签字、盖章后完整扫描保存为PDF格式，提交后概不退还。</w:t>
            </w:r>
          </w:p>
          <w:p w14:paraId="264196BF">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bookmarkStart w:id="2" w:name="_Toc533800106"/>
            <w:r>
              <w:rPr>
                <w:rFonts w:hint="eastAsia" w:ascii="宋体" w:hAnsi="宋体" w:eastAsia="宋体" w:cs="宋体"/>
                <w:b/>
                <w:bCs/>
                <w:color w:val="auto"/>
                <w:highlight w:val="none"/>
              </w:rPr>
              <w:t>※响应文件的装订必须采用胶订或线订形式，不得采用活页装订，否则响应将被拒绝。</w:t>
            </w:r>
            <w:bookmarkEnd w:id="2"/>
          </w:p>
        </w:tc>
      </w:tr>
      <w:tr w14:paraId="45CB9EAE">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400087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7</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AE40CFC">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14.4</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BC85260">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磋商过程中可能发生实质性变动的内容：</w:t>
            </w:r>
          </w:p>
          <w:p w14:paraId="17A60603">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在磋商过程中,磋商小组可以根据磋商文件和磋商情况实质性变动采购需求中的技术、服务要求以及合同草案条款,但不得变动磋商文件中的其他内容。实质性变动的内容经采购人代表确认后,由磋商小组书面通知所有供应商。对磋商文件作出的实质性变动是磋商文件的有效组成部分。</w:t>
            </w:r>
          </w:p>
        </w:tc>
      </w:tr>
      <w:tr w14:paraId="054288BB">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5B7D86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8</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B94278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14.9</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73BBB73">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评审的标准和方法：具体内容详见竞争性磋商须知前附表专项附件“评审的标准和方法”。</w:t>
            </w:r>
          </w:p>
        </w:tc>
      </w:tr>
      <w:tr w14:paraId="3DDB1F4F">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33BA18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9</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188CB74">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color w:val="auto"/>
                <w:sz w:val="24"/>
                <w:highlight w:val="none"/>
              </w:rPr>
            </w:pP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C450611">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根据采购项目的特点和需要，需要加以详细说明的其他磋商程序规定、要求等内容：</w:t>
            </w:r>
          </w:p>
          <w:p w14:paraId="289005D6">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1）未按照磋商文件的变动情况和磋商小组的要求重新提交补充响应文件的供应商，磋商小组将否决其响应文件，按无效响应处理。（2）已提交响应文件的供应商，在提交最后报价之前，可以根据磋商情况退出磋商，须由其法定代表人或授权代表签字或者加盖公章。由授权代表签字的,应当附法定代表人授权书。供应商为自然人的,应当由本人签字并附身份证明。（3）磋商小组确定成交候选人时以最后报价为准，如磋商小组没有对磋商文件作实质性变动增加新的需求，后一轮报价不得高于前一轮报价，最后报价若高于前一轮报价按无效响应处理。（4）在规定时间内未进行最后报价的供应商视为退出磋商，按无效响应处理。</w:t>
            </w:r>
          </w:p>
        </w:tc>
      </w:tr>
      <w:tr w14:paraId="0925B00C">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B93850F">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10</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5BE29B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22.2</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5186223">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信息公告指定媒体（以下简称：“指定媒体”）：</w:t>
            </w:r>
          </w:p>
          <w:p w14:paraId="06510C48">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yellow"/>
                <w:lang w:eastAsia="zh-CN"/>
              </w:rPr>
              <w:t>（1）仙游县数字城市电子交易服务平台，网址https://ptxy.etrading.cn/；</w:t>
            </w:r>
          </w:p>
        </w:tc>
      </w:tr>
      <w:tr w14:paraId="70EE78D0">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7CDFE71">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11</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2707772">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23.1</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29B3CDD">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本项目监督管理部门：</w:t>
            </w:r>
            <w:r>
              <w:rPr>
                <w:rFonts w:hint="eastAsia" w:ascii="宋体" w:hAnsi="宋体" w:eastAsia="宋体" w:cs="宋体"/>
                <w:color w:val="auto"/>
                <w:highlight w:val="none"/>
                <w:lang w:eastAsia="zh-CN"/>
              </w:rPr>
              <w:t>福建省仙游县总医院</w:t>
            </w:r>
          </w:p>
        </w:tc>
      </w:tr>
      <w:tr w14:paraId="439E2692">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0EECA1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12</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CEAA99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26</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CB763FD">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根据采购项目特点或政策需要补充的其他新增内容：</w:t>
            </w:r>
          </w:p>
          <w:p w14:paraId="130ECBB9">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(1)本项目代理服务费：</w:t>
            </w:r>
          </w:p>
          <w:p w14:paraId="419D55C8">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本项目收取代理服务费</w:t>
            </w:r>
          </w:p>
          <w:p w14:paraId="35324595">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代理服务费用收取对象：中标/成交供应商</w:t>
            </w:r>
          </w:p>
          <w:p w14:paraId="63B693D0">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代理服务费用收取对象：中标/成交供应商</w:t>
            </w:r>
          </w:p>
          <w:p w14:paraId="2931402C">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代理服务费收费标准：(1)按差额定率累进法计算，具体缴纳比例为：成交金额在30万元以下（含）的部分按0.6%缴纳；成交金额在30万-100万元（含）的部分按0.5%缴纳；按上述差额定率累进法计算的代理服务费总额不足3000元的按3000元包干收取。成交供应商应在领取成交通知书的同时向采购代理缴纳代理服务费，供应商报价时予以充分考虑。(2)中标（成交）人应在领取中标（成交）通知书的同时，可以现金、转帐或电汇方式一次性向招标代理机构缴纳招标代理服务费。（3）代理服务费汇入帐户：开户名：福建省宏通项目管理有限公司；开户行：平安银行福州分行营业部；帐号：11015281741006，开票邮箱：fjhtxm@163.com。（4）评审专家劳务报酬由采购人支付，支付标准按莆财购（2017）20号。</w:t>
            </w:r>
          </w:p>
          <w:p w14:paraId="3C9E9E02">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(2)其他：</w:t>
            </w:r>
          </w:p>
          <w:p w14:paraId="6FA3D77E">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本项目最高限价详见采购公告，供应商超过最高限价的报价为无效报价。根据《中华人民共和国价格法》第六条、第十八条规定，供应商依法有权自主制定属于市场调节的价格，有权根据企业的生产经营成本等自身情况和市场供求状况等外部因素自主定价。26.1实质性要求和条件：26.1.1信用记录查询及使用：(1)信用记录查询渠道及截止时点：采购代理机构将在投标截止时间截止后，评标工作结束前，通过“信用中国”网站(www.creditchina.gov.cn)、中国政府采购网(www.ccgp.gov.cn)查询供应商的信用记录。(2)信用信息查询记录和证据留存的具体方式：采购代理机构将记录、打印各供应商的信用信息查询结果，与其他采购文件一并保存。(3)信用信息的使用规则：依据《财政部关于在政府采购活动中查询及使用信用记录有关问题的通知》财库〔2016〕125号规定，供应商有下列情形之一，其投标文件在资格性检查中将被资格审查小组视为无效投标：①被列入“信用中国”网站(www.creditchina.gov.cn)中政府采购严重违法失信名单的；②被列入中国政府采购网(www.ccgp.gov.cn)中政府采购严重违法失信行为信息记录的；③属于《政府采购法》第二十二条的“重大违法记录”。26.1.2根据《关于进一步规范政府采购评审工作有关问题的通知》财库[2012]69号文件规定，评标委员会对供应商技术部分的客观评分项的评分应当一致，对其他需要借助专业知识评判的主观评分项，应当严格按照评分细则公正评分。26.2根据《政府采购质疑和投诉办法》(财政部令第94号)第十六条的规定：对采购过程、中标或者成交结果提出的质疑，合格供应商符合法定数量时，可以从合格的中标或者成交候选人中另行确定中标、成交供应商的，应当依法另行确定中标、成交供应商；否则应当重新开展采购活动。26.3质疑与投诉26.3.1质疑26.3.1.1根据《政府采购质疑和投诉办法》(财政部令第94号)第十条规定，供应商认为采购文件、采购过程、中标或者成交结果使自己的权益受到损害的，可以在知道或者应知其权益受到损害之日起7个工作日内，以书面形式向采购人、采购代理机构提出质疑。根据《中华人民共和国政府采购法实施条例》第五十三条规定，政府采购法第五十二条规定的供应商应知其权益受到损害之日，是指：(1)对可以质疑的采购文件提出质疑的，为收到采购文件之日；(2)对采购过程提出质疑的，为各采购程序环节结束之日；(3)对成交结果提出质疑的，为成交结果公告期限届满之日。26.3.1.2供应商在法定质疑期内须一次性提出针对同一采购程序环节的质疑。26.3.1.3接收质疑函的方式、联系部门、联系电话和通讯地址(1)接收质疑函的方式：书面原件形式（需同时递交word版本的质疑函）；(2)接收质疑函的联系部门：办公室；联系人：</w:t>
            </w:r>
            <w:r>
              <w:rPr>
                <w:rFonts w:hint="eastAsia" w:ascii="宋体" w:hAnsi="宋体" w:eastAsia="宋体" w:cs="宋体"/>
                <w:color w:val="auto"/>
                <w:highlight w:val="none"/>
                <w:lang w:val="en-US" w:eastAsia="zh-CN"/>
              </w:rPr>
              <w:t>林益廉</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联系电话：</w:t>
            </w:r>
            <w:r>
              <w:rPr>
                <w:rFonts w:hint="eastAsia" w:ascii="宋体" w:hAnsi="宋体" w:eastAsia="宋体" w:cs="宋体"/>
                <w:color w:val="auto"/>
                <w:highlight w:val="none"/>
                <w:lang w:eastAsia="zh-CN"/>
              </w:rPr>
              <w:t>15260999977</w:t>
            </w:r>
            <w:r>
              <w:rPr>
                <w:rFonts w:hint="eastAsia" w:ascii="宋体" w:hAnsi="宋体" w:eastAsia="宋体" w:cs="宋体"/>
                <w:color w:val="auto"/>
                <w:highlight w:val="none"/>
              </w:rPr>
              <w:t>；(3)接收质疑函的通讯地址：</w:t>
            </w:r>
            <w:r>
              <w:rPr>
                <w:rFonts w:hint="eastAsia" w:ascii="宋体" w:hAnsi="宋体" w:eastAsia="宋体" w:cs="宋体"/>
                <w:color w:val="auto"/>
                <w:highlight w:val="none"/>
                <w:lang w:eastAsia="zh-CN"/>
              </w:rPr>
              <w:t>福建省仙游县鲤城街道学府东路3635号</w:t>
            </w:r>
            <w:r>
              <w:rPr>
                <w:rFonts w:hint="eastAsia" w:ascii="宋体" w:hAnsi="宋体" w:eastAsia="宋体" w:cs="宋体"/>
                <w:color w:val="auto"/>
                <w:highlight w:val="none"/>
              </w:rPr>
              <w:t>。26.3.2投诉26.3.2.1根据《政府采购质疑和投诉办法》(财政部令第94号)第十八条规定，“投诉人投诉时,应当提交投诉书和必要的证明材料，并按照被投诉采购人、采购代理机构和与投诉事项有关的供应商数量提供投诉书的副本”。根据《政府采购质疑和投诉办法》(财政部令第94号)第二十条规定，“供应商投诉的事项不得超出已质疑事项的范围，但基于质疑答复内容提出的投诉事项除外。26.4关于报价计算错误修正的原则：（1）报价一览表内容与分项报价表内容不一致的，以报价一览表为准；（2）大写金额和小写金额不一致的，以大写金额为准；（3）单价金额小数点或百分比有明显错位的，以报价一览表的总价为准，并修改单价。（4）总价金额与按单价汇总金额不一致的，以单价金额计算结果为准；※同时出现两种以上不一致的，按照前款规定的顺序修正。若磋商小组按照上述规定修正，则相应供应商应予接受且修正后的报价对其起约束作用。若供应商不接受修正或未按照磋商小组的要求提交修正后的报价确认意见，则视为该供应商未实质性响应竞争性磋商文件要求，其符合性检查不合格。”</w:t>
            </w:r>
          </w:p>
        </w:tc>
      </w:tr>
      <w:tr w14:paraId="0B564B9C">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7E6CB7C">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13</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34A705C">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18.1</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1E581CA">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合同签订时限：自中标通知书发出之日起30个日历日内。</w:t>
            </w:r>
          </w:p>
        </w:tc>
      </w:tr>
      <w:tr w14:paraId="7DD0A43C">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7ABE10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14</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A7456EA">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备注</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73BC414">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关于证明材料或资料：</w:t>
            </w:r>
          </w:p>
          <w:p w14:paraId="4F2E7B3D">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a.磋商文件要求原件的，供应商在响应文件中可提供复印件（含扫描件），但同时应准备好原件备查（未能在规定时间内提供原件核查的，将按不利于供应商进行评审）；竞争性磋商文件要求复印件的，供应商在响应文件中提供原件、复印件（含扫描件）皆可；竞争性磋商文件对原件、复印件未作要求的，供应商在响应文件中提供原件、复印件（含扫描件）皆可。</w:t>
            </w:r>
          </w:p>
          <w:p w14:paraId="3DD2C1F5">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b.若供应商提供注明“复印件无效”或“复印无效”的证明材料或资料，应结合上文a条款进行判定，若竞争性磋商文件未要求供应商提供原件，供应商提供原件、复印件（含扫描件）均视为满足竞争性磋商文件要求。</w:t>
            </w:r>
          </w:p>
        </w:tc>
      </w:tr>
    </w:tbl>
    <w:p w14:paraId="168C232F">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auto"/>
          <w:sz w:val="27"/>
          <w:szCs w:val="27"/>
          <w:highlight w:val="none"/>
          <w:shd w:val="clear" w:color="auto" w:fill="FFFFFF"/>
        </w:rPr>
      </w:pPr>
      <w:r>
        <w:rPr>
          <w:rFonts w:hint="eastAsia" w:ascii="宋体" w:hAnsi="宋体" w:eastAsia="宋体" w:cs="宋体"/>
          <w:b/>
          <w:bCs/>
          <w:color w:val="auto"/>
          <w:sz w:val="27"/>
          <w:szCs w:val="27"/>
          <w:highlight w:val="none"/>
          <w:shd w:val="clear" w:color="auto" w:fill="FFFFFF"/>
        </w:rPr>
        <w:br w:type="page"/>
      </w:r>
    </w:p>
    <w:p w14:paraId="06EA40C0">
      <w:pPr>
        <w:pStyle w:val="4"/>
        <w:keepNext w:val="0"/>
        <w:keepLines w:val="0"/>
        <w:pageBreakBefore w:val="0"/>
        <w:widowControl/>
        <w:shd w:val="clear" w:color="auto" w:fill="FFFFFF"/>
        <w:kinsoku/>
        <w:overflowPunct/>
        <w:topLinePunct w:val="0"/>
        <w:bidi w:val="0"/>
        <w:snapToGrid/>
        <w:spacing w:beforeAutospacing="0" w:afterAutospacing="0" w:line="240" w:lineRule="auto"/>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专项附件：评审的标准和方法</w:t>
      </w:r>
    </w:p>
    <w:p w14:paraId="1269D3C2">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三、综合评分的标准和方法</w:t>
      </w:r>
    </w:p>
    <w:p w14:paraId="533B175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3.1磋商小组将采用综合评分法对提交最后报价的合格供应商的响应文件和最后报价进行综合评分。如果磋商项目有多个采购包，则按相应采购包分别进行，具体综合评分的标准和方法如下：</w:t>
      </w:r>
    </w:p>
    <w:p w14:paraId="3249C0C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3.3.1磋商小组将对相应采购包提交最后报价的合格供应商从技术、商务及报价部分分别进行评议并评分，并汇总出技术、商务及报价部分的综合得分。各采购包综合得分最高的供应商将被推荐为第一成交候选供应商，综合得分第二高的供应商将被推荐为第二成交候选供应商，综合得分第三高的供应商将被推荐为第三成交候选供应商（属于《政府采购竞争性磋商采购方式管理暂行办法》等相关法律法规及财政部门颁布的规范性文件允许的两家供应商进行竞争性磋商采购情形，则不推荐第三成交候选供应商）。如果出现相同的综合得分，则最后报价低的供应商排序在前优先推荐；如果最后报价仍相同，则技术部分得分高的供应商优先排序在前推荐。</w:t>
      </w:r>
    </w:p>
    <w:p w14:paraId="0318C02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3.3.2具体评审标准和方法：</w:t>
      </w:r>
    </w:p>
    <w:p w14:paraId="6788083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 响应文件满足磋商文件全部实质性要求，且按照评审因素的量化指标综合评审总得分从高到低顺序推荐3名以上成交候选人供应商，其中评审总得分最高的供应商为第一成交候选供应商。</w:t>
      </w:r>
    </w:p>
    <w:p w14:paraId="3777CF8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每个供应商的评审总得分FA＝F1×A1＋F2×A2＋F3×A3，其中：F1指价格项评审因素得分、F2指技术项评审因素得分、F3指商务项评审因素得分，A1指价格项评审因素所占的权重、A2指技术项评审因素所占的权重、A3指商务项评审因素所占的权重，A1＋A2＋A3=1、F1×A1＋F2×A2＋F3×A3=100分（满分时）。</w:t>
      </w:r>
    </w:p>
    <w:p w14:paraId="1F0BFCD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（3）各项评审因素的设置如下：</w:t>
      </w:r>
    </w:p>
    <w:p w14:paraId="0021035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采购包1：综合评分法</w:t>
      </w:r>
    </w:p>
    <w:p w14:paraId="7BABFC4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各项评审因素的设置如下：</w:t>
      </w:r>
    </w:p>
    <w:p w14:paraId="71CB4B56">
      <w:pPr>
        <w:pStyle w:val="3"/>
        <w:bidi w:val="0"/>
        <w:rPr>
          <w:rFonts w:hint="eastAsia"/>
          <w:highlight w:val="yellow"/>
        </w:rPr>
      </w:pPr>
      <w:bookmarkStart w:id="3" w:name="_Toc29920"/>
      <w:r>
        <w:rPr>
          <w:rFonts w:hint="eastAsia"/>
          <w:highlight w:val="yellow"/>
        </w:rPr>
        <w:t>报价部分评分PF满分为</w:t>
      </w:r>
      <w:r>
        <w:rPr>
          <w:rFonts w:hint="eastAsia"/>
          <w:highlight w:val="yellow"/>
          <w:lang w:val="en-US" w:eastAsia="zh-CN"/>
        </w:rPr>
        <w:t>45</w:t>
      </w:r>
      <w:r>
        <w:rPr>
          <w:rFonts w:hint="eastAsia"/>
          <w:highlight w:val="yellow"/>
        </w:rPr>
        <w:t>.00分</w:t>
      </w:r>
      <w:bookmarkEnd w:id="3"/>
    </w:p>
    <w:p w14:paraId="377E0CE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F1指价格项评审因素得分＝（评标基准价/投标报价）×100×价格项评审因素所占的权重（注：满足</w:t>
      </w:r>
      <w:r>
        <w:rPr>
          <w:rFonts w:hint="eastAsia" w:ascii="宋体" w:hAnsi="宋体" w:eastAsia="宋体" w:cs="宋体"/>
          <w:color w:val="auto"/>
          <w:highlight w:val="none"/>
          <w:shd w:val="clear" w:color="auto" w:fill="FFFFFF"/>
          <w:lang w:val="en-US" w:eastAsia="zh-CN"/>
        </w:rPr>
        <w:t>磋商</w:t>
      </w:r>
      <w:r>
        <w:rPr>
          <w:rFonts w:hint="eastAsia" w:ascii="宋体" w:hAnsi="宋体" w:eastAsia="宋体" w:cs="宋体"/>
          <w:color w:val="auto"/>
          <w:highlight w:val="none"/>
          <w:shd w:val="clear" w:color="auto" w:fill="FFFFFF"/>
        </w:rPr>
        <w:t>文件要求且投标价格最低的投标报价为评标基准价。）最低报价不是中标的唯一依据。因落实政府采购政策进行价格调整的，以调整后的价格计算评标基准价和投标报价。</w:t>
      </w:r>
    </w:p>
    <w:p w14:paraId="35BB20B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价格扣除的规则如下：</w:t>
      </w:r>
    </w:p>
    <w:tbl>
      <w:tblPr>
        <w:tblStyle w:val="19"/>
        <w:tblW w:w="5145" w:type="pct"/>
        <w:tblInd w:w="-113"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0" w:type="dxa"/>
          <w:left w:w="0" w:type="dxa"/>
          <w:bottom w:w="0" w:type="dxa"/>
          <w:right w:w="0" w:type="dxa"/>
        </w:tblCellMar>
      </w:tblPr>
      <w:tblGrid>
        <w:gridCol w:w="1417"/>
        <w:gridCol w:w="1059"/>
        <w:gridCol w:w="7458"/>
      </w:tblGrid>
      <w:tr w14:paraId="1B2EA22A">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PrEx>
        <w:trPr>
          <w:tblHeader/>
        </w:trPr>
        <w:tc>
          <w:tcPr>
            <w:tcW w:w="1417"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3E82E91">
            <w:pPr>
              <w:keepNext w:val="0"/>
              <w:keepLines w:val="0"/>
              <w:widowControl/>
              <w:suppressLineNumbers w:val="0"/>
              <w:wordWrap w:val="0"/>
              <w:spacing w:before="0" w:beforeAutospacing="0" w:after="0" w:afterAutospacing="0" w:line="480" w:lineRule="atLeast"/>
              <w:ind w:left="0" w:leftChars="0" w:right="0" w:rightChars="0" w:firstLine="0" w:firstLineChars="0"/>
              <w:jc w:val="center"/>
              <w:rPr>
                <w:rFonts w:ascii="宋体" w:hAnsi="宋体" w:eastAsia="宋体" w:cs="宋体"/>
              </w:rPr>
            </w:pPr>
            <w:r>
              <w:rPr>
                <w:rFonts w:hint="eastAsia" w:ascii="宋体" w:hAnsi="宋体" w:eastAsia="宋体" w:cs="宋体"/>
                <w:b/>
                <w:bCs/>
                <w:color w:val="auto"/>
                <w:kern w:val="0"/>
                <w:sz w:val="24"/>
                <w:szCs w:val="24"/>
                <w:highlight w:val="none"/>
                <w:lang w:val="en-US" w:eastAsia="zh-CN" w:bidi="ar"/>
              </w:rPr>
              <w:t>项目</w:t>
            </w:r>
          </w:p>
        </w:tc>
        <w:tc>
          <w:tcPr>
            <w:tcW w:w="1059"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47AC388E">
            <w:pPr>
              <w:keepNext w:val="0"/>
              <w:keepLines w:val="0"/>
              <w:widowControl/>
              <w:suppressLineNumbers w:val="0"/>
              <w:wordWrap w:val="0"/>
              <w:spacing w:before="0" w:beforeAutospacing="0" w:after="0" w:afterAutospacing="0" w:line="480" w:lineRule="atLeast"/>
              <w:ind w:left="0" w:leftChars="0" w:right="0" w:rightChars="0" w:firstLine="0" w:firstLineChars="0"/>
              <w:jc w:val="center"/>
              <w:rPr>
                <w:rFonts w:hint="eastAsia" w:ascii="宋体" w:hAnsi="宋体" w:eastAsia="宋体" w:cs="宋体"/>
                <w:kern w:val="0"/>
                <w:sz w:val="24"/>
              </w:rPr>
            </w:pPr>
            <w:r>
              <w:rPr>
                <w:rFonts w:hint="eastAsia" w:ascii="宋体" w:hAnsi="宋体" w:eastAsia="宋体" w:cs="宋体"/>
                <w:b/>
                <w:bCs/>
                <w:color w:val="auto"/>
                <w:kern w:val="0"/>
                <w:sz w:val="24"/>
                <w:szCs w:val="24"/>
                <w:highlight w:val="none"/>
                <w:lang w:val="en-US" w:eastAsia="zh-CN" w:bidi="ar"/>
              </w:rPr>
              <w:t>比例</w:t>
            </w:r>
          </w:p>
        </w:tc>
        <w:tc>
          <w:tcPr>
            <w:tcW w:w="745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253D640">
            <w:pPr>
              <w:keepNext w:val="0"/>
              <w:keepLines w:val="0"/>
              <w:widowControl/>
              <w:suppressLineNumbers w:val="0"/>
              <w:wordWrap w:val="0"/>
              <w:spacing w:before="0" w:beforeAutospacing="0" w:after="0" w:afterAutospacing="0" w:line="480" w:lineRule="atLeast"/>
              <w:ind w:left="0" w:leftChars="0" w:right="0" w:rightChars="0" w:firstLine="0" w:firstLineChars="0"/>
              <w:jc w:val="center"/>
              <w:rPr>
                <w:rFonts w:ascii="宋体" w:hAnsi="宋体" w:eastAsia="宋体" w:cs="宋体"/>
              </w:rPr>
            </w:pPr>
            <w:r>
              <w:rPr>
                <w:rFonts w:hint="eastAsia" w:ascii="宋体" w:hAnsi="宋体" w:eastAsia="宋体" w:cs="宋体"/>
                <w:b/>
                <w:bCs/>
                <w:color w:val="auto"/>
                <w:kern w:val="0"/>
                <w:sz w:val="24"/>
                <w:szCs w:val="24"/>
                <w:highlight w:val="none"/>
                <w:lang w:val="en-US" w:eastAsia="zh-CN" w:bidi="ar"/>
              </w:rPr>
              <w:t>方法</w:t>
            </w:r>
          </w:p>
        </w:tc>
      </w:tr>
      <w:tr w14:paraId="396236A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71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5FFB06B9">
            <w:pPr>
              <w:widowControl/>
              <w:jc w:val="center"/>
              <w:rPr>
                <w:rFonts w:hint="eastAsia" w:ascii="宋体" w:hAnsi="宋体" w:eastAsia="宋体" w:cs="宋体"/>
                <w:lang w:val="en-US" w:eastAsia="zh-CN"/>
              </w:rPr>
            </w:pPr>
            <w:r>
              <w:rPr>
                <w:rFonts w:hint="eastAsia" w:ascii="宋体" w:hAnsi="宋体" w:eastAsia="宋体" w:cs="宋体"/>
                <w:lang w:val="en-US" w:eastAsia="zh-CN"/>
              </w:rPr>
              <w:t>/</w:t>
            </w:r>
          </w:p>
        </w:tc>
        <w:tc>
          <w:tcPr>
            <w:tcW w:w="53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5193DDA5">
            <w:pPr>
              <w:widowControl/>
              <w:jc w:val="center"/>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w:t>
            </w:r>
          </w:p>
        </w:tc>
        <w:tc>
          <w:tcPr>
            <w:tcW w:w="3752"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26F837BC">
            <w:pPr>
              <w:widowControl/>
              <w:jc w:val="center"/>
              <w:rPr>
                <w:rFonts w:hint="eastAsia" w:ascii="宋体" w:hAnsi="宋体" w:eastAsia="宋体" w:cs="宋体"/>
                <w:lang w:val="en-US" w:eastAsia="zh-CN"/>
              </w:rPr>
            </w:pPr>
            <w:r>
              <w:rPr>
                <w:rFonts w:hint="eastAsia" w:ascii="宋体" w:hAnsi="宋体" w:eastAsia="宋体" w:cs="宋体"/>
                <w:lang w:val="en-US" w:eastAsia="zh-CN"/>
              </w:rPr>
              <w:t>/</w:t>
            </w:r>
          </w:p>
        </w:tc>
      </w:tr>
    </w:tbl>
    <w:p w14:paraId="7677BB8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i w:val="0"/>
          <w:iCs w:val="0"/>
          <w:caps w:val="0"/>
          <w:color w:val="auto"/>
          <w:spacing w:val="0"/>
          <w:sz w:val="24"/>
          <w:szCs w:val="24"/>
          <w:highlight w:val="none"/>
          <w:shd w:val="clear" w:fill="FFFFFF"/>
          <w:lang w:eastAsia="zh-CN"/>
        </w:rPr>
      </w:pPr>
      <w:r>
        <w:rPr>
          <w:rFonts w:hint="eastAsia" w:ascii="宋体" w:hAnsi="宋体" w:eastAsia="宋体" w:cs="宋体"/>
          <w:i w:val="0"/>
          <w:iCs w:val="0"/>
          <w:caps w:val="0"/>
          <w:color w:val="auto"/>
          <w:spacing w:val="0"/>
          <w:sz w:val="24"/>
          <w:szCs w:val="24"/>
          <w:highlight w:val="none"/>
          <w:shd w:val="clear" w:fill="FFFFFF"/>
        </w:rPr>
        <w:t>优先类节能产品、环境标志产品的价格</w:t>
      </w:r>
      <w:r>
        <w:rPr>
          <w:rFonts w:hint="eastAsia" w:ascii="宋体" w:hAnsi="宋体" w:eastAsia="宋体" w:cs="宋体"/>
          <w:color w:val="auto"/>
          <w:highlight w:val="none"/>
          <w:shd w:val="clear" w:color="auto" w:fill="FFFFFF"/>
        </w:rPr>
        <w:t>扣除</w:t>
      </w:r>
      <w:r>
        <w:rPr>
          <w:rFonts w:hint="eastAsia" w:ascii="宋体" w:hAnsi="宋体" w:eastAsia="宋体" w:cs="宋体"/>
          <w:i w:val="0"/>
          <w:iCs w:val="0"/>
          <w:caps w:val="0"/>
          <w:color w:val="auto"/>
          <w:spacing w:val="0"/>
          <w:sz w:val="24"/>
          <w:szCs w:val="24"/>
          <w:highlight w:val="none"/>
          <w:shd w:val="clear" w:fill="FFFFFF"/>
        </w:rPr>
        <w:t>规则如下</w:t>
      </w:r>
      <w:r>
        <w:rPr>
          <w:rFonts w:hint="eastAsia" w:ascii="宋体" w:hAnsi="宋体" w:eastAsia="宋体" w:cs="宋体"/>
          <w:i w:val="0"/>
          <w:iCs w:val="0"/>
          <w:caps w:val="0"/>
          <w:color w:val="auto"/>
          <w:spacing w:val="0"/>
          <w:sz w:val="24"/>
          <w:szCs w:val="24"/>
          <w:highlight w:val="none"/>
          <w:shd w:val="clear" w:fill="FFFFFF"/>
          <w:lang w:eastAsia="zh-CN"/>
        </w:rPr>
        <w:t>：</w:t>
      </w:r>
    </w:p>
    <w:tbl>
      <w:tblPr>
        <w:tblStyle w:val="19"/>
        <w:tblW w:w="97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1038"/>
        <w:gridCol w:w="6595"/>
      </w:tblGrid>
      <w:tr w14:paraId="6830CD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076" w:type="dxa"/>
          </w:tcPr>
          <w:p w14:paraId="325D9B03">
            <w:pPr>
              <w:jc w:val="center"/>
              <w:rPr>
                <w:rFonts w:hint="default"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项目</w:t>
            </w:r>
          </w:p>
        </w:tc>
        <w:tc>
          <w:tcPr>
            <w:tcW w:w="1038" w:type="dxa"/>
          </w:tcPr>
          <w:p w14:paraId="2350B061">
            <w:pPr>
              <w:jc w:val="center"/>
              <w:rPr>
                <w:rFonts w:hint="default"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比例</w:t>
            </w:r>
          </w:p>
        </w:tc>
        <w:tc>
          <w:tcPr>
            <w:tcW w:w="6595" w:type="dxa"/>
          </w:tcPr>
          <w:p w14:paraId="1A536A3D">
            <w:pPr>
              <w:jc w:val="center"/>
              <w:rPr>
                <w:rFonts w:hint="default"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方法</w:t>
            </w:r>
          </w:p>
        </w:tc>
      </w:tr>
      <w:tr w14:paraId="454CCC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vAlign w:val="center"/>
          </w:tcPr>
          <w:p w14:paraId="4A804B79">
            <w:pPr>
              <w:jc w:val="center"/>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节能、环境标志产品</w:t>
            </w:r>
          </w:p>
        </w:tc>
        <w:tc>
          <w:tcPr>
            <w:tcW w:w="1038" w:type="dxa"/>
            <w:vAlign w:val="center"/>
          </w:tcPr>
          <w:p w14:paraId="2072A3D3">
            <w:pPr>
              <w:jc w:val="center"/>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10%</w:t>
            </w:r>
          </w:p>
        </w:tc>
        <w:tc>
          <w:tcPr>
            <w:tcW w:w="6595" w:type="dxa"/>
          </w:tcPr>
          <w:p w14:paraId="429366FA">
            <w:pPr>
              <w:jc w:val="both"/>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1、同一采购包内，对节能产品、环境标志产品政府采购品目清单范围内，实施优先采购的产品，给予产品价格报价10%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强制类节能产品不进行价格扣除。</w:t>
            </w:r>
          </w:p>
        </w:tc>
      </w:tr>
    </w:tbl>
    <w:p w14:paraId="18FF2E16">
      <w:pPr>
        <w:rPr>
          <w:rFonts w:hint="eastAsia" w:ascii="宋体" w:hAnsi="宋体" w:eastAsia="宋体" w:cs="宋体"/>
          <w:color w:val="auto"/>
          <w:highlight w:val="none"/>
          <w:shd w:val="clear" w:color="auto" w:fill="FFFFFF"/>
        </w:rPr>
      </w:pPr>
    </w:p>
    <w:p w14:paraId="5BA6A71F">
      <w:pPr>
        <w:pStyle w:val="3"/>
        <w:bidi w:val="0"/>
        <w:rPr>
          <w:rFonts w:hint="eastAsia"/>
          <w:highlight w:val="yellow"/>
        </w:rPr>
      </w:pPr>
      <w:bookmarkStart w:id="4" w:name="_Toc10390"/>
      <w:r>
        <w:rPr>
          <w:rFonts w:hint="eastAsia"/>
          <w:highlight w:val="yellow"/>
        </w:rPr>
        <w:t>技术部分评分PT满分为</w:t>
      </w:r>
      <w:r>
        <w:rPr>
          <w:rFonts w:hint="eastAsia"/>
          <w:highlight w:val="yellow"/>
          <w:lang w:val="en-US" w:eastAsia="zh-CN"/>
        </w:rPr>
        <w:t>46</w:t>
      </w:r>
      <w:r>
        <w:rPr>
          <w:rFonts w:hint="eastAsia"/>
          <w:highlight w:val="yellow"/>
        </w:rPr>
        <w:t>.00分</w:t>
      </w:r>
      <w:bookmarkEnd w:id="4"/>
    </w:p>
    <w:tbl>
      <w:tblPr>
        <w:tblStyle w:val="19"/>
        <w:tblW w:w="979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45"/>
        <w:gridCol w:w="1067"/>
        <w:gridCol w:w="6686"/>
      </w:tblGrid>
      <w:tr w14:paraId="5A0E63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6" w:hRule="atLeast"/>
        </w:trPr>
        <w:tc>
          <w:tcPr>
            <w:tcW w:w="2045" w:type="dxa"/>
          </w:tcPr>
          <w:p w14:paraId="417864E9">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项目</w:t>
            </w:r>
          </w:p>
        </w:tc>
        <w:tc>
          <w:tcPr>
            <w:tcW w:w="1067" w:type="dxa"/>
          </w:tcPr>
          <w:p w14:paraId="342819A4">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分值</w:t>
            </w:r>
          </w:p>
        </w:tc>
        <w:tc>
          <w:tcPr>
            <w:tcW w:w="6686" w:type="dxa"/>
          </w:tcPr>
          <w:p w14:paraId="2091F9A8">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描述</w:t>
            </w:r>
          </w:p>
        </w:tc>
      </w:tr>
      <w:tr w14:paraId="78A601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58" w:hRule="atLeast"/>
        </w:trPr>
        <w:tc>
          <w:tcPr>
            <w:tcW w:w="2045" w:type="dxa"/>
            <w:vAlign w:val="center"/>
          </w:tcPr>
          <w:p w14:paraId="37570222">
            <w:pPr>
              <w:pStyle w:val="24"/>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1、技术服务要求响应情况</w:t>
            </w:r>
          </w:p>
        </w:tc>
        <w:tc>
          <w:tcPr>
            <w:tcW w:w="1067" w:type="dxa"/>
            <w:vAlign w:val="center"/>
          </w:tcPr>
          <w:p w14:paraId="69BD51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ajorEastAsia" w:hAnsiTheme="majorEastAsia" w:eastAsiaTheme="majorEastAsia" w:cstheme="majorEastAsia"/>
                <w:color w:val="000000" w:themeColor="text1"/>
                <w:sz w:val="24"/>
                <w:szCs w:val="24"/>
                <w:highlight w:val="none"/>
                <w:lang w:val="en-US"/>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36</w:t>
            </w: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.00</w:t>
            </w:r>
          </w:p>
        </w:tc>
        <w:tc>
          <w:tcPr>
            <w:tcW w:w="6686" w:type="dxa"/>
            <w:vAlign w:val="center"/>
          </w:tcPr>
          <w:p w14:paraId="3F8933C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根据</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供应商</w:t>
            </w:r>
            <w:r>
              <w:rPr>
                <w:rFonts w:hint="eastAsia" w:asciiTheme="majorEastAsia" w:hAnsiTheme="majorEastAsia" w:eastAsiaTheme="majorEastAsia" w:cstheme="majorEastAsia"/>
                <w:color w:val="000000" w:themeColor="text1"/>
                <w:sz w:val="24"/>
                <w:szCs w:val="24"/>
                <w14:textFill>
                  <w14:solidFill>
                    <w14:schemeClr w14:val="tx1"/>
                  </w14:solidFill>
                </w14:textFill>
              </w:rPr>
              <w:t>对</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磋商文件</w:t>
            </w:r>
            <w:r>
              <w:rPr>
                <w:rFonts w:hint="eastAsia" w:asciiTheme="majorEastAsia" w:hAnsiTheme="majorEastAsia" w:eastAsiaTheme="majorEastAsia" w:cstheme="majorEastAsia"/>
                <w:color w:val="000000" w:themeColor="text1"/>
                <w:sz w:val="24"/>
                <w:szCs w:val="24"/>
                <w14:textFill>
                  <w14:solidFill>
                    <w14:schemeClr w14:val="tx1"/>
                  </w14:solidFill>
                </w14:textFill>
              </w:rPr>
              <w:t>第</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三</w:t>
            </w:r>
            <w:r>
              <w:rPr>
                <w:rFonts w:hint="eastAsia" w:asciiTheme="majorEastAsia" w:hAnsiTheme="majorEastAsia" w:eastAsiaTheme="majorEastAsia" w:cstheme="majorEastAsia"/>
                <w:color w:val="000000" w:themeColor="text1"/>
                <w:sz w:val="24"/>
                <w:szCs w:val="24"/>
                <w14:textFill>
                  <w14:solidFill>
                    <w14:schemeClr w14:val="tx1"/>
                  </w14:solidFill>
                </w14:textFill>
              </w:rPr>
              <w:t>章《</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采购</w:t>
            </w:r>
            <w:r>
              <w:rPr>
                <w:rFonts w:hint="eastAsia" w:asciiTheme="majorEastAsia" w:hAnsiTheme="majorEastAsia" w:eastAsiaTheme="majorEastAsia" w:cstheme="majorEastAsia"/>
                <w:color w:val="000000" w:themeColor="text1"/>
                <w:sz w:val="24"/>
                <w:szCs w:val="24"/>
                <w14:textFill>
                  <w14:solidFill>
                    <w14:schemeClr w14:val="tx1"/>
                  </w14:solidFill>
                </w14:textFill>
              </w:rPr>
              <w:t>内容及要求》中“二、技术和服务要求”标注【评审项】的技术指标各项规定要求的响应承诺情况，并结合相关佐证材料，由</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磋商小组</w:t>
            </w:r>
            <w:r>
              <w:rPr>
                <w:rFonts w:hint="eastAsia" w:asciiTheme="majorEastAsia" w:hAnsiTheme="majorEastAsia" w:eastAsiaTheme="majorEastAsia" w:cstheme="majorEastAsia"/>
                <w:color w:val="000000" w:themeColor="text1"/>
                <w:sz w:val="24"/>
                <w:szCs w:val="24"/>
                <w14:textFill>
                  <w14:solidFill>
                    <w14:schemeClr w14:val="tx1"/>
                  </w14:solidFill>
                </w14:textFill>
              </w:rPr>
              <w:t>进行评分：</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供应商</w:t>
            </w:r>
            <w:r>
              <w:rPr>
                <w:rFonts w:hint="eastAsia" w:asciiTheme="majorEastAsia" w:hAnsiTheme="majorEastAsia" w:eastAsiaTheme="majorEastAsia" w:cstheme="majorEastAsia"/>
                <w:color w:val="000000" w:themeColor="text1"/>
                <w:sz w:val="24"/>
                <w:szCs w:val="24"/>
                <w14:textFill>
                  <w14:solidFill>
                    <w14:schemeClr w14:val="tx1"/>
                  </w14:solidFill>
                </w14:textFill>
              </w:rPr>
              <w:t>完全响应</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磋商文件</w:t>
            </w:r>
            <w:r>
              <w:rPr>
                <w:rFonts w:hint="eastAsia" w:asciiTheme="majorEastAsia" w:hAnsiTheme="majorEastAsia" w:eastAsiaTheme="majorEastAsia" w:cstheme="majorEastAsia"/>
                <w:color w:val="000000" w:themeColor="text1"/>
                <w:sz w:val="24"/>
                <w:szCs w:val="24"/>
                <w14:textFill>
                  <w14:solidFill>
                    <w14:schemeClr w14:val="tx1"/>
                  </w14:solidFill>
                </w14:textFill>
              </w:rPr>
              <w:t>要求的得</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36</w:t>
            </w:r>
            <w:r>
              <w:rPr>
                <w:rFonts w:hint="eastAsia" w:asciiTheme="majorEastAsia" w:hAnsiTheme="majorEastAsia" w:eastAsiaTheme="majorEastAsia" w:cstheme="majorEastAsia"/>
                <w:color w:val="000000" w:themeColor="text1"/>
                <w:sz w:val="24"/>
                <w:szCs w:val="24"/>
                <w14:textFill>
                  <w14:solidFill>
                    <w14:schemeClr w14:val="tx1"/>
                  </w14:solidFill>
                </w14:textFill>
              </w:rPr>
              <w:t>分，标注</w:t>
            </w:r>
            <w:r>
              <w:rPr>
                <w:rFonts w:hint="eastAsia" w:asciiTheme="majorEastAsia" w:hAnsiTheme="majorEastAsia" w:eastAsiaTheme="majorEastAsia" w:cstheme="majorEastAsia"/>
                <w:color w:val="FF0000"/>
                <w:sz w:val="24"/>
                <w:szCs w:val="24"/>
              </w:rPr>
              <w:t>【评审项】的技术指标（共计</w:t>
            </w:r>
            <w:r>
              <w:rPr>
                <w:rFonts w:hint="eastAsia" w:asciiTheme="majorEastAsia" w:hAnsiTheme="majorEastAsia" w:eastAsiaTheme="majorEastAsia" w:cstheme="majorEastAsia"/>
                <w:color w:val="FF0000"/>
                <w:sz w:val="24"/>
                <w:szCs w:val="24"/>
                <w:lang w:val="en-US" w:eastAsia="zh-CN"/>
              </w:rPr>
              <w:t>9</w:t>
            </w:r>
            <w:r>
              <w:rPr>
                <w:rFonts w:hint="eastAsia" w:asciiTheme="majorEastAsia" w:hAnsiTheme="majorEastAsia" w:eastAsiaTheme="majorEastAsia" w:cstheme="majorEastAsia"/>
                <w:color w:val="FF0000"/>
                <w:sz w:val="24"/>
                <w:szCs w:val="24"/>
              </w:rPr>
              <w:t>项），每负偏离一项扣</w:t>
            </w:r>
            <w:r>
              <w:rPr>
                <w:rFonts w:hint="eastAsia" w:asciiTheme="majorEastAsia" w:hAnsiTheme="majorEastAsia" w:eastAsiaTheme="majorEastAsia" w:cstheme="majorEastAsia"/>
                <w:color w:val="FF0000"/>
                <w:sz w:val="24"/>
                <w:szCs w:val="24"/>
                <w:lang w:val="en-US" w:eastAsia="zh-CN"/>
              </w:rPr>
              <w:t>4</w:t>
            </w:r>
            <w:r>
              <w:rPr>
                <w:rFonts w:hint="eastAsia" w:asciiTheme="majorEastAsia" w:hAnsiTheme="majorEastAsia" w:eastAsiaTheme="majorEastAsia" w:cstheme="majorEastAsia"/>
                <w:color w:val="FF0000"/>
                <w:sz w:val="24"/>
                <w:szCs w:val="24"/>
              </w:rPr>
              <w:t>分，该部分技术指标满分</w:t>
            </w:r>
            <w:r>
              <w:rPr>
                <w:rFonts w:hint="eastAsia" w:asciiTheme="majorEastAsia" w:hAnsiTheme="majorEastAsia" w:eastAsiaTheme="majorEastAsia" w:cstheme="majorEastAsia"/>
                <w:color w:val="FF0000"/>
                <w:sz w:val="24"/>
                <w:szCs w:val="24"/>
                <w:lang w:val="en-US" w:eastAsia="zh-CN"/>
              </w:rPr>
              <w:t>36</w:t>
            </w:r>
            <w:r>
              <w:rPr>
                <w:rFonts w:hint="eastAsia" w:asciiTheme="majorEastAsia" w:hAnsiTheme="majorEastAsia" w:eastAsiaTheme="majorEastAsia" w:cstheme="majorEastAsia"/>
                <w:color w:val="FF0000"/>
                <w:sz w:val="24"/>
                <w:szCs w:val="24"/>
              </w:rPr>
              <w:t>分</w:t>
            </w:r>
            <w:r>
              <w:rPr>
                <w:rFonts w:hint="eastAsia" w:asciiTheme="majorEastAsia" w:hAnsiTheme="majorEastAsia" w:eastAsiaTheme="majorEastAsia" w:cstheme="majorEastAsia"/>
                <w:color w:val="000000" w:themeColor="text1"/>
                <w:sz w:val="24"/>
                <w:szCs w:val="24"/>
                <w14:textFill>
                  <w14:solidFill>
                    <w14:schemeClr w14:val="tx1"/>
                  </w14:solidFill>
                </w14:textFill>
              </w:rPr>
              <w:t>。【注：</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磋商文件</w:t>
            </w:r>
            <w:r>
              <w:rPr>
                <w:rFonts w:hint="eastAsia" w:asciiTheme="majorEastAsia" w:hAnsiTheme="majorEastAsia" w:eastAsiaTheme="majorEastAsia" w:cstheme="majorEastAsia"/>
                <w:color w:val="000000" w:themeColor="text1"/>
                <w:sz w:val="24"/>
                <w:szCs w:val="24"/>
                <w14:textFill>
                  <w14:solidFill>
                    <w14:schemeClr w14:val="tx1"/>
                  </w14:solidFill>
                </w14:textFill>
              </w:rPr>
              <w:t>中技术指标若有要求</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供应商</w:t>
            </w:r>
            <w:r>
              <w:rPr>
                <w:rFonts w:hint="eastAsia" w:asciiTheme="majorEastAsia" w:hAnsiTheme="majorEastAsia" w:eastAsiaTheme="majorEastAsia" w:cstheme="majorEastAsia"/>
                <w:color w:val="000000" w:themeColor="text1"/>
                <w:sz w:val="24"/>
                <w:szCs w:val="24"/>
                <w14:textFill>
                  <w14:solidFill>
                    <w14:schemeClr w14:val="tx1"/>
                  </w14:solidFill>
                </w14:textFill>
              </w:rPr>
              <w:t>提供相应佐证材料的，</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供应商</w:t>
            </w:r>
            <w:r>
              <w:rPr>
                <w:rFonts w:hint="eastAsia" w:asciiTheme="majorEastAsia" w:hAnsiTheme="majorEastAsia" w:eastAsiaTheme="majorEastAsia" w:cstheme="majorEastAsia"/>
                <w:color w:val="000000" w:themeColor="text1"/>
                <w:sz w:val="24"/>
                <w:szCs w:val="24"/>
                <w14:textFill>
                  <w14:solidFill>
                    <w14:schemeClr w14:val="tx1"/>
                  </w14:solidFill>
                </w14:textFill>
              </w:rPr>
              <w:t>未提供相应佐证材料或者</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供应商</w:t>
            </w:r>
            <w:r>
              <w:rPr>
                <w:rFonts w:hint="eastAsia" w:asciiTheme="majorEastAsia" w:hAnsiTheme="majorEastAsia" w:eastAsiaTheme="majorEastAsia" w:cstheme="majorEastAsia"/>
                <w:color w:val="000000" w:themeColor="text1"/>
                <w:sz w:val="24"/>
                <w:szCs w:val="24"/>
                <w14:textFill>
                  <w14:solidFill>
                    <w14:schemeClr w14:val="tx1"/>
                  </w14:solidFill>
                </w14:textFill>
              </w:rPr>
              <w:t>的响应承诺与其佐证材料不一致的，</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磋商小组</w:t>
            </w:r>
            <w:r>
              <w:rPr>
                <w:rFonts w:hint="eastAsia" w:asciiTheme="majorEastAsia" w:hAnsiTheme="majorEastAsia" w:eastAsiaTheme="majorEastAsia" w:cstheme="majorEastAsia"/>
                <w:color w:val="000000" w:themeColor="text1"/>
                <w:sz w:val="24"/>
                <w:szCs w:val="24"/>
                <w14:textFill>
                  <w14:solidFill>
                    <w14:schemeClr w14:val="tx1"/>
                  </w14:solidFill>
                </w14:textFill>
              </w:rPr>
              <w:t>将以不利于</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供应商</w:t>
            </w:r>
            <w:r>
              <w:rPr>
                <w:rFonts w:hint="eastAsia" w:asciiTheme="majorEastAsia" w:hAnsiTheme="majorEastAsia" w:eastAsiaTheme="majorEastAsia" w:cstheme="majorEastAsia"/>
                <w:color w:val="000000" w:themeColor="text1"/>
                <w:sz w:val="24"/>
                <w:szCs w:val="24"/>
                <w14:textFill>
                  <w14:solidFill>
                    <w14:schemeClr w14:val="tx1"/>
                  </w14:solidFill>
                </w14:textFill>
              </w:rPr>
              <w:t>的内容为准进行评审（负偏离）。一个评审项中出现任一条技术指标负偏离，则该评审项按负偏离处理，正偏离不加分。】</w:t>
            </w:r>
          </w:p>
        </w:tc>
      </w:tr>
      <w:tr w14:paraId="272BDF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2" w:hRule="atLeast"/>
        </w:trPr>
        <w:tc>
          <w:tcPr>
            <w:tcW w:w="2045" w:type="dxa"/>
            <w:vAlign w:val="center"/>
          </w:tcPr>
          <w:p w14:paraId="0203746A">
            <w:pPr>
              <w:pStyle w:val="24"/>
              <w:keepNext w:val="0"/>
              <w:keepLines w:val="0"/>
              <w:pageBreakBefore w:val="0"/>
              <w:kinsoku/>
              <w:wordWrap/>
              <w:overflowPunct/>
              <w:topLinePunct w:val="0"/>
              <w:autoSpaceDE/>
              <w:autoSpaceDN/>
              <w:bidi w:val="0"/>
              <w:adjustRightInd/>
              <w:snapToGrid/>
              <w:spacing w:beforeAutospacing="0" w:afterAutospacing="0" w:line="240" w:lineRule="auto"/>
              <w:jc w:val="center"/>
              <w:textAlignment w:val="auto"/>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t>2、项目实施方案情况</w:t>
            </w:r>
          </w:p>
        </w:tc>
        <w:tc>
          <w:tcPr>
            <w:tcW w:w="1067" w:type="dxa"/>
            <w:vAlign w:val="center"/>
          </w:tcPr>
          <w:p w14:paraId="2C5AA351">
            <w:pPr>
              <w:pStyle w:val="24"/>
              <w:keepNext w:val="0"/>
              <w:keepLines w:val="0"/>
              <w:pageBreakBefore w:val="0"/>
              <w:kinsoku/>
              <w:wordWrap/>
              <w:overflowPunct/>
              <w:topLinePunct w:val="0"/>
              <w:autoSpaceDE/>
              <w:autoSpaceDN/>
              <w:bidi w:val="0"/>
              <w:adjustRightInd/>
              <w:snapToGrid/>
              <w:spacing w:beforeAutospacing="0" w:afterAutospacing="0" w:line="240" w:lineRule="auto"/>
              <w:jc w:val="center"/>
              <w:textAlignment w:val="auto"/>
              <w:rPr>
                <w:rFonts w:hint="eastAsia" w:asciiTheme="majorEastAsia" w:hAnsiTheme="majorEastAsia" w:eastAsiaTheme="majorEastAsia" w:cstheme="majorEastAsia"/>
                <w:bCs/>
                <w:color w:val="FF0000"/>
                <w:sz w:val="24"/>
                <w:szCs w:val="24"/>
                <w:lang w:val="en-US" w:eastAsia="zh-CN"/>
              </w:rPr>
            </w:pPr>
            <w:r>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t>3</w:t>
            </w: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.00</w:t>
            </w:r>
          </w:p>
        </w:tc>
        <w:tc>
          <w:tcPr>
            <w:tcW w:w="6686" w:type="dxa"/>
            <w:vAlign w:val="center"/>
          </w:tcPr>
          <w:p w14:paraId="7CEE009C">
            <w:pPr>
              <w:pStyle w:val="24"/>
              <w:keepNext w:val="0"/>
              <w:keepLines w:val="0"/>
              <w:pageBreakBefore w:val="0"/>
              <w:kinsoku/>
              <w:wordWrap/>
              <w:overflowPunct/>
              <w:topLinePunct w:val="0"/>
              <w:autoSpaceDE/>
              <w:autoSpaceDN/>
              <w:bidi w:val="0"/>
              <w:adjustRightInd/>
              <w:snapToGrid/>
              <w:spacing w:beforeAutospacing="0" w:afterAutospacing="0" w:line="240" w:lineRule="auto"/>
              <w:jc w:val="both"/>
              <w:textAlignment w:val="auto"/>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t>根据供应商针对本项目制定的</w:t>
            </w:r>
            <w:r>
              <w:rPr>
                <w:rFonts w:hint="eastAsia" w:asciiTheme="majorEastAsia" w:hAnsiTheme="majorEastAsia" w:eastAsiaTheme="majorEastAsia" w:cstheme="majorEastAsia"/>
                <w:bCs/>
                <w:color w:val="FF0000"/>
                <w:sz w:val="24"/>
                <w:szCs w:val="24"/>
                <w:lang w:val="en-US" w:eastAsia="zh-CN"/>
              </w:rPr>
              <w:t>项目实施方案</w:t>
            </w:r>
            <w:r>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t>情况进行评分，重点考虑供应商如何在中标后有效地组织交接安排，内容包含但不限于：</w:t>
            </w:r>
            <w:r>
              <w:rPr>
                <w:rFonts w:hint="eastAsia" w:asciiTheme="majorEastAsia" w:hAnsiTheme="majorEastAsia" w:eastAsiaTheme="majorEastAsia" w:cstheme="majorEastAsia"/>
                <w:bCs/>
                <w:color w:val="FF0000"/>
                <w:sz w:val="24"/>
                <w:szCs w:val="24"/>
                <w:lang w:val="en-US" w:eastAsia="zh-CN"/>
              </w:rPr>
              <w:t>①货源组织；②工序安排；③物流保证货物配送的速度等情况，</w:t>
            </w:r>
            <w:r>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t>由磋商小组进行评审：方案包含的要点齐全无缺漏项、内容与要点相符、每个要点均有展开详细的阐述、整体思路结构清晰、逻辑性强，内容描述合理，细节考虑周全且能够适用于本项目的得3分；方案所包含的要点齐全、内容与要点相符、每个要点均有展开阐述、整体思路结构较清晰、逻辑性较强，内容描述较合理，细节考虑较周全且基本能够适用于本项目的得2.5分；方案所包含的要点不齐全、内容与要点相符但仅有纲要、内容简略，展开详细阐述但基本能够适用于本项目的得2.25分；</w:t>
            </w:r>
            <w:r>
              <w:rPr>
                <w:rFonts w:hint="eastAsia" w:asciiTheme="majorEastAsia" w:hAnsiTheme="majorEastAsia" w:eastAsiaTheme="majorEastAsia" w:cstheme="majorEastAsia"/>
                <w:color w:val="000000" w:themeColor="text1"/>
                <w:kern w:val="0"/>
                <w:sz w:val="24"/>
                <w:szCs w:val="24"/>
                <w:lang w:val="en-US" w:eastAsia="zh-CN" w:bidi="ar-SA"/>
                <w14:textFill>
                  <w14:solidFill>
                    <w14:schemeClr w14:val="tx1"/>
                  </w14:solidFill>
                </w14:textFill>
              </w:rPr>
              <w:t>方案不符合要求的或未提供的不得分。</w:t>
            </w:r>
          </w:p>
        </w:tc>
      </w:tr>
      <w:tr w14:paraId="3EFE49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23" w:hRule="atLeast"/>
        </w:trPr>
        <w:tc>
          <w:tcPr>
            <w:tcW w:w="2045" w:type="dxa"/>
            <w:vAlign w:val="center"/>
          </w:tcPr>
          <w:p w14:paraId="3FA989CF">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Theme="majorEastAsia" w:hAnsiTheme="majorEastAsia" w:eastAsiaTheme="majorEastAsia" w:cstheme="majorEastAsia"/>
                <w:bCs/>
                <w:color w:val="000000" w:themeColor="text1"/>
                <w:kern w:val="0"/>
                <w:sz w:val="24"/>
                <w:szCs w:val="24"/>
                <w:lang w:val="en-US" w:eastAsia="zh-CN"/>
                <w14:textFill>
                  <w14:solidFill>
                    <w14:schemeClr w14:val="tx1"/>
                  </w14:solidFill>
                </w14:textFill>
              </w:rPr>
            </w:pPr>
            <w:r>
              <w:rPr>
                <w:rFonts w:hint="eastAsia" w:asciiTheme="majorEastAsia" w:hAnsiTheme="majorEastAsia" w:eastAsiaTheme="majorEastAsia" w:cstheme="majorEastAsia"/>
                <w:bCs/>
                <w:color w:val="000000" w:themeColor="text1"/>
                <w:kern w:val="0"/>
                <w:sz w:val="24"/>
                <w:szCs w:val="24"/>
                <w:highlight w:val="none"/>
                <w:lang w:val="en-US" w:eastAsia="zh-CN"/>
                <w14:textFill>
                  <w14:solidFill>
                    <w14:schemeClr w14:val="tx1"/>
                  </w14:solidFill>
                </w14:textFill>
              </w:rPr>
              <w:t>3、</w:t>
            </w:r>
            <w:r>
              <w:rPr>
                <w:rFonts w:hint="eastAsia" w:asciiTheme="majorEastAsia" w:hAnsiTheme="majorEastAsia" w:eastAsiaTheme="majorEastAsia" w:cstheme="majorEastAsia"/>
                <w:bCs/>
                <w:color w:val="000000" w:themeColor="text1"/>
                <w:kern w:val="0"/>
                <w:sz w:val="24"/>
                <w:szCs w:val="24"/>
                <w:highlight w:val="none"/>
                <w14:textFill>
                  <w14:solidFill>
                    <w14:schemeClr w14:val="tx1"/>
                  </w14:solidFill>
                </w14:textFill>
              </w:rPr>
              <w:t>供货方案</w:t>
            </w:r>
          </w:p>
        </w:tc>
        <w:tc>
          <w:tcPr>
            <w:tcW w:w="1067" w:type="dxa"/>
            <w:vAlign w:val="center"/>
          </w:tcPr>
          <w:p w14:paraId="15A8D38F">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Theme="majorEastAsia" w:hAnsiTheme="majorEastAsia" w:eastAsiaTheme="majorEastAsia" w:cstheme="majorEastAsia"/>
                <w:bCs/>
                <w:color w:val="000000" w:themeColor="text1"/>
                <w:kern w:val="0"/>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bCs/>
                <w:color w:val="000000" w:themeColor="text1"/>
                <w:kern w:val="0"/>
                <w:sz w:val="24"/>
                <w:szCs w:val="24"/>
                <w:highlight w:val="none"/>
                <w14:textFill>
                  <w14:solidFill>
                    <w14:schemeClr w14:val="tx1"/>
                  </w14:solidFill>
                </w14:textFill>
              </w:rPr>
              <w:t>3</w:t>
            </w: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.00</w:t>
            </w:r>
          </w:p>
        </w:tc>
        <w:tc>
          <w:tcPr>
            <w:tcW w:w="6686" w:type="dxa"/>
            <w:vAlign w:val="center"/>
          </w:tcPr>
          <w:p w14:paraId="24E58F6D">
            <w:pPr>
              <w:keepNext w:val="0"/>
              <w:keepLines w:val="0"/>
              <w:pageBreakBefore w:val="0"/>
              <w:widowControl/>
              <w:kinsoku/>
              <w:wordWrap/>
              <w:overflowPunct/>
              <w:topLinePunct w:val="0"/>
              <w:autoSpaceDE/>
              <w:autoSpaceDN/>
              <w:bidi w:val="0"/>
              <w:adjustRightInd/>
              <w:snapToGrid/>
              <w:spacing w:beforeAutospacing="0" w:afterAutospacing="0" w:line="240" w:lineRule="auto"/>
              <w:jc w:val="both"/>
              <w:textAlignment w:val="auto"/>
              <w:rPr>
                <w:rFonts w:hint="eastAsia" w:asciiTheme="majorEastAsia" w:hAnsiTheme="majorEastAsia" w:eastAsiaTheme="majorEastAsia" w:cstheme="majorEastAsia"/>
                <w:bCs/>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bCs/>
                <w:color w:val="000000" w:themeColor="text1"/>
                <w:kern w:val="0"/>
                <w:sz w:val="24"/>
                <w:szCs w:val="24"/>
                <w:highlight w:val="none"/>
                <w14:textFill>
                  <w14:solidFill>
                    <w14:schemeClr w14:val="tx1"/>
                  </w14:solidFill>
                </w14:textFill>
              </w:rPr>
              <w:t>根据</w:t>
            </w:r>
            <w:r>
              <w:rPr>
                <w:rFonts w:hint="eastAsia" w:asciiTheme="majorEastAsia" w:hAnsiTheme="majorEastAsia" w:eastAsiaTheme="majorEastAsia" w:cstheme="majorEastAsia"/>
                <w:color w:val="000000" w:themeColor="text1"/>
                <w:kern w:val="2"/>
                <w:sz w:val="24"/>
                <w:szCs w:val="24"/>
                <w:highlight w:val="none"/>
                <w:lang w:eastAsia="zh-CN"/>
                <w14:textFill>
                  <w14:solidFill>
                    <w14:schemeClr w14:val="tx1"/>
                  </w14:solidFill>
                </w14:textFill>
              </w:rPr>
              <w:t>各供应商</w:t>
            </w:r>
            <w:r>
              <w:rPr>
                <w:rFonts w:hint="eastAsia" w:asciiTheme="majorEastAsia" w:hAnsiTheme="majorEastAsia" w:eastAsiaTheme="majorEastAsia" w:cstheme="majorEastAsia"/>
                <w:bCs/>
                <w:color w:val="000000" w:themeColor="text1"/>
                <w:kern w:val="0"/>
                <w:sz w:val="24"/>
                <w:szCs w:val="24"/>
                <w:highlight w:val="none"/>
                <w14:textFill>
                  <w14:solidFill>
                    <w14:schemeClr w14:val="tx1"/>
                  </w14:solidFill>
                </w14:textFill>
              </w:rPr>
              <w:t>针对本项目提供货物</w:t>
            </w:r>
            <w:r>
              <w:rPr>
                <w:rFonts w:hint="eastAsia" w:asciiTheme="majorEastAsia" w:hAnsiTheme="majorEastAsia" w:eastAsiaTheme="majorEastAsia" w:cstheme="majorEastAsia"/>
                <w:bCs/>
                <w:color w:val="000000" w:themeColor="text1"/>
                <w:kern w:val="0"/>
                <w:sz w:val="24"/>
                <w:szCs w:val="24"/>
                <w:highlight w:val="none"/>
                <w:lang w:val="en-US" w:eastAsia="zh-CN"/>
                <w14:textFill>
                  <w14:solidFill>
                    <w14:schemeClr w14:val="tx1"/>
                  </w14:solidFill>
                </w14:textFill>
              </w:rPr>
              <w:t>的</w:t>
            </w:r>
            <w:r>
              <w:rPr>
                <w:rFonts w:hint="eastAsia" w:asciiTheme="majorEastAsia" w:hAnsiTheme="majorEastAsia" w:eastAsiaTheme="majorEastAsia" w:cstheme="majorEastAsia"/>
                <w:bCs/>
                <w:color w:val="FF0000"/>
                <w:kern w:val="0"/>
                <w:sz w:val="24"/>
                <w:szCs w:val="24"/>
                <w:highlight w:val="none"/>
              </w:rPr>
              <w:t>供货方案</w:t>
            </w:r>
            <w:r>
              <w:rPr>
                <w:rFonts w:hint="eastAsia" w:asciiTheme="majorEastAsia" w:hAnsiTheme="majorEastAsia" w:eastAsiaTheme="majorEastAsia" w:cstheme="majorEastAsia"/>
                <w:bCs/>
                <w:color w:val="000000" w:themeColor="text1"/>
                <w:kern w:val="0"/>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t>内容包含但不限于</w:t>
            </w:r>
            <w:r>
              <w:rPr>
                <w:rFonts w:hint="eastAsia" w:asciiTheme="majorEastAsia" w:hAnsiTheme="majorEastAsia" w:eastAsiaTheme="majorEastAsia" w:cstheme="majorEastAsia"/>
                <w:bCs/>
                <w:color w:val="000000" w:themeColor="text1"/>
                <w:kern w:val="0"/>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bCs/>
                <w:color w:val="FF0000"/>
                <w:kern w:val="0"/>
                <w:sz w:val="24"/>
                <w:szCs w:val="24"/>
                <w:highlight w:val="none"/>
              </w:rPr>
              <w:t>①最快供货周期及数量；②运输条件；③货物的质量标准及验收方式说明等情况</w:t>
            </w:r>
            <w:r>
              <w:rPr>
                <w:rFonts w:hint="eastAsia" w:asciiTheme="majorEastAsia" w:hAnsiTheme="majorEastAsia" w:eastAsiaTheme="majorEastAsia" w:cstheme="majorEastAsia"/>
                <w:bCs/>
                <w:color w:val="000000" w:themeColor="text1"/>
                <w:kern w:val="0"/>
                <w:sz w:val="24"/>
                <w:szCs w:val="24"/>
                <w:highlight w:val="none"/>
                <w14:textFill>
                  <w14:solidFill>
                    <w14:schemeClr w14:val="tx1"/>
                  </w14:solidFill>
                </w14:textFill>
              </w:rPr>
              <w:t>，由</w:t>
            </w:r>
            <w:r>
              <w:rPr>
                <w:rFonts w:hint="eastAsia" w:asciiTheme="majorEastAsia" w:hAnsiTheme="majorEastAsia" w:eastAsiaTheme="majorEastAsia" w:cstheme="majorEastAsia"/>
                <w:bCs/>
                <w:color w:val="000000" w:themeColor="text1"/>
                <w:kern w:val="0"/>
                <w:sz w:val="24"/>
                <w:szCs w:val="24"/>
                <w:highlight w:val="none"/>
                <w:lang w:val="en-US" w:eastAsia="zh-CN"/>
                <w14:textFill>
                  <w14:solidFill>
                    <w14:schemeClr w14:val="tx1"/>
                  </w14:solidFill>
                </w14:textFill>
              </w:rPr>
              <w:t>磋商小组</w:t>
            </w:r>
            <w:r>
              <w:rPr>
                <w:rFonts w:hint="eastAsia" w:asciiTheme="majorEastAsia" w:hAnsiTheme="majorEastAsia" w:eastAsiaTheme="majorEastAsia" w:cstheme="majorEastAsia"/>
                <w:bCs/>
                <w:color w:val="000000" w:themeColor="text1"/>
                <w:kern w:val="0"/>
                <w:sz w:val="24"/>
                <w:szCs w:val="24"/>
                <w:highlight w:val="none"/>
                <w14:textFill>
                  <w14:solidFill>
                    <w14:schemeClr w14:val="tx1"/>
                  </w14:solidFill>
                </w14:textFill>
              </w:rPr>
              <w:t>进行评分：方案所包含的要点齐全、内容与要点相符、内容详实、各要点内容之间关联性强，逻辑清晰，可操性强的得3分；方案所包含的要点齐全、内容与要点相符，内容相对简略，但具有可操作性的得2</w:t>
            </w:r>
            <w:r>
              <w:rPr>
                <w:rFonts w:hint="eastAsia" w:asciiTheme="majorEastAsia" w:hAnsiTheme="majorEastAsia" w:eastAsiaTheme="majorEastAsia" w:cstheme="majorEastAsia"/>
                <w:bCs/>
                <w:color w:val="000000" w:themeColor="text1"/>
                <w:kern w:val="0"/>
                <w:sz w:val="24"/>
                <w:szCs w:val="24"/>
                <w:highlight w:val="none"/>
                <w:lang w:val="en-US" w:eastAsia="zh-CN"/>
                <w14:textFill>
                  <w14:solidFill>
                    <w14:schemeClr w14:val="tx1"/>
                  </w14:solidFill>
                </w14:textFill>
              </w:rPr>
              <w:t>.5</w:t>
            </w:r>
            <w:r>
              <w:rPr>
                <w:rFonts w:hint="eastAsia" w:asciiTheme="majorEastAsia" w:hAnsiTheme="majorEastAsia" w:eastAsiaTheme="majorEastAsia" w:cstheme="majorEastAsia"/>
                <w:bCs/>
                <w:color w:val="000000" w:themeColor="text1"/>
                <w:kern w:val="0"/>
                <w:sz w:val="24"/>
                <w:szCs w:val="24"/>
                <w:highlight w:val="none"/>
                <w14:textFill>
                  <w14:solidFill>
                    <w14:schemeClr w14:val="tx1"/>
                  </w14:solidFill>
                </w14:textFill>
              </w:rPr>
              <w:t>分；方案所包含的要点缺项，内容不够清晰，可操作性</w:t>
            </w:r>
            <w:r>
              <w:rPr>
                <w:rFonts w:hint="eastAsia" w:asciiTheme="majorEastAsia" w:hAnsiTheme="majorEastAsia" w:eastAsiaTheme="majorEastAsia" w:cstheme="majorEastAsia"/>
                <w:bCs/>
                <w:color w:val="000000" w:themeColor="text1"/>
                <w:kern w:val="0"/>
                <w:sz w:val="24"/>
                <w:szCs w:val="24"/>
                <w:highlight w:val="none"/>
                <w:lang w:val="en-US" w:eastAsia="zh-CN"/>
                <w14:textFill>
                  <w14:solidFill>
                    <w14:schemeClr w14:val="tx1"/>
                  </w14:solidFill>
                </w14:textFill>
              </w:rPr>
              <w:t>一般</w:t>
            </w:r>
            <w:r>
              <w:rPr>
                <w:rFonts w:hint="eastAsia" w:asciiTheme="majorEastAsia" w:hAnsiTheme="majorEastAsia" w:eastAsiaTheme="majorEastAsia" w:cstheme="majorEastAsia"/>
                <w:bCs/>
                <w:color w:val="000000" w:themeColor="text1"/>
                <w:kern w:val="0"/>
                <w:sz w:val="24"/>
                <w:szCs w:val="24"/>
                <w:highlight w:val="none"/>
                <w14:textFill>
                  <w14:solidFill>
                    <w14:schemeClr w14:val="tx1"/>
                  </w14:solidFill>
                </w14:textFill>
              </w:rPr>
              <w:t>的得</w:t>
            </w:r>
            <w:r>
              <w:rPr>
                <w:rFonts w:hint="eastAsia" w:asciiTheme="majorEastAsia" w:hAnsiTheme="majorEastAsia" w:eastAsiaTheme="majorEastAsia" w:cstheme="majorEastAsia"/>
                <w:bCs/>
                <w:color w:val="000000" w:themeColor="text1"/>
                <w:kern w:val="0"/>
                <w:sz w:val="24"/>
                <w:szCs w:val="24"/>
                <w:highlight w:val="none"/>
                <w:lang w:val="en-US" w:eastAsia="zh-CN"/>
                <w14:textFill>
                  <w14:solidFill>
                    <w14:schemeClr w14:val="tx1"/>
                  </w14:solidFill>
                </w14:textFill>
              </w:rPr>
              <w:t>2.25</w:t>
            </w:r>
            <w:r>
              <w:rPr>
                <w:rFonts w:hint="eastAsia" w:asciiTheme="majorEastAsia" w:hAnsiTheme="majorEastAsia" w:eastAsiaTheme="majorEastAsia" w:cstheme="majorEastAsia"/>
                <w:bCs/>
                <w:color w:val="000000" w:themeColor="text1"/>
                <w:kern w:val="0"/>
                <w:sz w:val="24"/>
                <w:szCs w:val="24"/>
                <w:highlight w:val="none"/>
                <w14:textFill>
                  <w14:solidFill>
                    <w14:schemeClr w14:val="tx1"/>
                  </w14:solidFill>
                </w14:textFill>
              </w:rPr>
              <w:t>分；</w:t>
            </w:r>
            <w:r>
              <w:rPr>
                <w:rFonts w:hint="eastAsia" w:asciiTheme="majorEastAsia" w:hAnsiTheme="majorEastAsia" w:eastAsiaTheme="majorEastAsia" w:cstheme="majorEastAsia"/>
                <w:color w:val="000000" w:themeColor="text1"/>
                <w:kern w:val="0"/>
                <w:sz w:val="24"/>
                <w:szCs w:val="24"/>
                <w:lang w:val="en-US" w:eastAsia="zh-CN" w:bidi="ar-SA"/>
                <w14:textFill>
                  <w14:solidFill>
                    <w14:schemeClr w14:val="tx1"/>
                  </w14:solidFill>
                </w14:textFill>
              </w:rPr>
              <w:t>方案不符合要求的或未提供的不得分。</w:t>
            </w:r>
          </w:p>
        </w:tc>
      </w:tr>
      <w:tr w14:paraId="4D0303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48" w:hRule="atLeast"/>
        </w:trPr>
        <w:tc>
          <w:tcPr>
            <w:tcW w:w="2045" w:type="dxa"/>
            <w:shd w:val="clear" w:color="auto" w:fill="auto"/>
            <w:vAlign w:val="center"/>
          </w:tcPr>
          <w:p w14:paraId="1D021203">
            <w:pPr>
              <w:pStyle w:val="24"/>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4、质量保障情况</w:t>
            </w:r>
          </w:p>
        </w:tc>
        <w:tc>
          <w:tcPr>
            <w:tcW w:w="1067" w:type="dxa"/>
            <w:shd w:val="clear" w:color="auto" w:fill="auto"/>
            <w:vAlign w:val="center"/>
          </w:tcPr>
          <w:p w14:paraId="0FD29800">
            <w:pPr>
              <w:pStyle w:val="24"/>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3</w:t>
            </w: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.00</w:t>
            </w:r>
          </w:p>
        </w:tc>
        <w:tc>
          <w:tcPr>
            <w:tcW w:w="6686" w:type="dxa"/>
            <w:shd w:val="clear" w:color="auto" w:fill="auto"/>
            <w:vAlign w:val="center"/>
          </w:tcPr>
          <w:p w14:paraId="358165C9">
            <w:pPr>
              <w:pStyle w:val="24"/>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根据供应商针对本项目提供的项目</w:t>
            </w:r>
            <w:r>
              <w:rPr>
                <w:rFonts w:hint="eastAsia" w:asciiTheme="majorEastAsia" w:hAnsiTheme="majorEastAsia" w:eastAsiaTheme="majorEastAsia" w:cstheme="majorEastAsia"/>
                <w:b w:val="0"/>
                <w:bCs w:val="0"/>
                <w:color w:val="FF0000"/>
                <w:sz w:val="24"/>
                <w:szCs w:val="24"/>
                <w:highlight w:val="none"/>
                <w:lang w:val="en-US" w:eastAsia="zh-CN"/>
              </w:rPr>
              <w:t>质量保障方案</w:t>
            </w: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情况进行评分，</w:t>
            </w:r>
            <w:r>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t>内容包含但不限于</w:t>
            </w: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w:t>
            </w:r>
            <w:r>
              <w:rPr>
                <w:rFonts w:hint="eastAsia" w:asciiTheme="majorEastAsia" w:hAnsiTheme="majorEastAsia" w:eastAsiaTheme="majorEastAsia" w:cstheme="majorEastAsia"/>
                <w:b w:val="0"/>
                <w:bCs w:val="0"/>
                <w:color w:val="FF0000"/>
                <w:sz w:val="24"/>
                <w:szCs w:val="24"/>
                <w:highlight w:val="none"/>
                <w:lang w:val="en-US" w:eastAsia="zh-CN"/>
              </w:rPr>
              <w:t>①产品检测方案；②供货保障方案；③质量保障方案等情况</w:t>
            </w: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由磋商小组进行评审：方案包含的要点齐全无缺漏项、内容与要点相符、每个要点均有展开详细的阐述、整体思路结构清晰、逻辑性强，内容描述合理，细节考虑周全且能够适用于本项目的得3分；方案所包含的要点齐全、内容与要点相符、每个要点均有展开阐述、整体思路结构较清晰、逻辑性较强，内容描述较合理，细节考虑较周全且基本能够适用于本项目的得2.5分；方案所包含的要点不齐全、内容与要点相符但仅有纲要、内容简略，展开详细阐述但基本能够适用于本项目的得2.25分；</w:t>
            </w:r>
            <w:r>
              <w:rPr>
                <w:rFonts w:hint="eastAsia" w:asciiTheme="majorEastAsia" w:hAnsiTheme="majorEastAsia" w:eastAsiaTheme="majorEastAsia" w:cstheme="majorEastAsia"/>
                <w:color w:val="000000" w:themeColor="text1"/>
                <w:kern w:val="0"/>
                <w:sz w:val="24"/>
                <w:szCs w:val="24"/>
                <w:lang w:val="en-US" w:eastAsia="zh-CN" w:bidi="ar-SA"/>
                <w14:textFill>
                  <w14:solidFill>
                    <w14:schemeClr w14:val="tx1"/>
                  </w14:solidFill>
                </w14:textFill>
              </w:rPr>
              <w:t>方案不符合要求的或未提供的不得分。</w:t>
            </w:r>
          </w:p>
        </w:tc>
      </w:tr>
      <w:tr w14:paraId="46ABA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48" w:hRule="atLeast"/>
        </w:trPr>
        <w:tc>
          <w:tcPr>
            <w:tcW w:w="2045" w:type="dxa"/>
            <w:shd w:val="clear" w:color="auto" w:fill="auto"/>
            <w:vAlign w:val="center"/>
          </w:tcPr>
          <w:p w14:paraId="540DE60B">
            <w:pPr>
              <w:pStyle w:val="24"/>
              <w:spacing w:line="240" w:lineRule="auto"/>
              <w:jc w:val="center"/>
              <w:rPr>
                <w:rFonts w:hint="eastAsia" w:asciiTheme="majorEastAsia" w:hAnsiTheme="majorEastAsia" w:eastAsiaTheme="majorEastAsia" w:cstheme="majorEastAsia"/>
                <w:b/>
                <w:bCs/>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5.项目</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负责人</w:t>
            </w:r>
          </w:p>
        </w:tc>
        <w:tc>
          <w:tcPr>
            <w:tcW w:w="1067" w:type="dxa"/>
            <w:shd w:val="clear" w:color="auto" w:fill="auto"/>
            <w:vAlign w:val="center"/>
          </w:tcPr>
          <w:p w14:paraId="512F979C">
            <w:pPr>
              <w:pStyle w:val="24"/>
              <w:spacing w:line="240" w:lineRule="auto"/>
              <w:jc w:val="center"/>
              <w:rPr>
                <w:rFonts w:hint="eastAsia" w:asciiTheme="majorEastAsia" w:hAnsiTheme="majorEastAsia" w:eastAsiaTheme="majorEastAsia" w:cstheme="majorEastAsia"/>
                <w:b/>
                <w:bCs/>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1</w:t>
            </w:r>
            <w:r>
              <w:rPr>
                <w:rFonts w:hint="eastAsia" w:asciiTheme="majorEastAsia" w:hAnsiTheme="majorEastAsia" w:eastAsiaTheme="majorEastAsia" w:cstheme="majorEastAsia"/>
                <w:color w:val="000000" w:themeColor="text1"/>
                <w:sz w:val="24"/>
                <w:szCs w:val="24"/>
                <w14:textFill>
                  <w14:solidFill>
                    <w14:schemeClr w14:val="tx1"/>
                  </w14:solidFill>
                </w14:textFill>
              </w:rPr>
              <w:t>.00</w:t>
            </w:r>
          </w:p>
        </w:tc>
        <w:tc>
          <w:tcPr>
            <w:tcW w:w="6686" w:type="dxa"/>
            <w:shd w:val="clear" w:color="auto" w:fill="auto"/>
            <w:vAlign w:val="center"/>
          </w:tcPr>
          <w:p w14:paraId="7ED59F82">
            <w:pPr>
              <w:pStyle w:val="24"/>
              <w:spacing w:line="240" w:lineRule="auto"/>
              <w:jc w:val="both"/>
              <w:rPr>
                <w:rFonts w:hint="eastAsia" w:asciiTheme="majorEastAsia" w:hAnsiTheme="majorEastAsia" w:eastAsiaTheme="majorEastAsia" w:cstheme="majorEastAsia"/>
                <w:b/>
                <w:bCs/>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根据各</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供应商</w:t>
            </w:r>
            <w:r>
              <w:rPr>
                <w:rFonts w:hint="eastAsia" w:asciiTheme="majorEastAsia" w:hAnsiTheme="majorEastAsia" w:eastAsiaTheme="majorEastAsia" w:cstheme="majorEastAsia"/>
                <w:color w:val="000000" w:themeColor="text1"/>
                <w:sz w:val="24"/>
                <w:szCs w:val="24"/>
                <w14:textFill>
                  <w14:solidFill>
                    <w14:schemeClr w14:val="tx1"/>
                  </w14:solidFill>
                </w14:textFill>
              </w:rPr>
              <w:t>针对本项目投入一名</w:t>
            </w:r>
            <w:r>
              <w:rPr>
                <w:rFonts w:hint="eastAsia" w:asciiTheme="majorEastAsia" w:hAnsiTheme="majorEastAsia" w:eastAsiaTheme="majorEastAsia" w:cstheme="majorEastAsia"/>
                <w:color w:val="FF0000"/>
                <w:sz w:val="24"/>
                <w:szCs w:val="24"/>
              </w:rPr>
              <w:t>项目</w:t>
            </w:r>
            <w:r>
              <w:rPr>
                <w:rFonts w:hint="eastAsia" w:asciiTheme="majorEastAsia" w:hAnsiTheme="majorEastAsia" w:eastAsiaTheme="majorEastAsia" w:cstheme="majorEastAsia"/>
                <w:color w:val="FF0000"/>
                <w:sz w:val="24"/>
                <w:szCs w:val="24"/>
                <w:lang w:val="en-US" w:eastAsia="zh-CN"/>
              </w:rPr>
              <w:t>负责人</w:t>
            </w:r>
            <w:r>
              <w:rPr>
                <w:rFonts w:hint="eastAsia" w:asciiTheme="majorEastAsia" w:hAnsiTheme="majorEastAsia" w:eastAsiaTheme="majorEastAsia" w:cstheme="majorEastAsia"/>
                <w:color w:val="000000" w:themeColor="text1"/>
                <w:sz w:val="24"/>
                <w:szCs w:val="24"/>
                <w14:textFill>
                  <w14:solidFill>
                    <w14:schemeClr w14:val="tx1"/>
                  </w14:solidFill>
                </w14:textFill>
              </w:rPr>
              <w:t>，承诺负责本项目</w:t>
            </w:r>
            <w:r>
              <w:rPr>
                <w:rFonts w:hint="eastAsia" w:asciiTheme="majorEastAsia" w:hAnsiTheme="majorEastAsia" w:eastAsiaTheme="majorEastAsia" w:cstheme="majorEastAsia"/>
                <w:color w:val="FF0000"/>
                <w:sz w:val="24"/>
                <w:szCs w:val="24"/>
                <w:lang w:val="en-US" w:eastAsia="zh-CN"/>
              </w:rPr>
              <w:t>物流跟踪派送</w:t>
            </w:r>
            <w:r>
              <w:rPr>
                <w:rFonts w:hint="eastAsia" w:asciiTheme="majorEastAsia" w:hAnsiTheme="majorEastAsia" w:eastAsiaTheme="majorEastAsia" w:cstheme="majorEastAsia"/>
                <w:color w:val="FF0000"/>
                <w:sz w:val="24"/>
                <w:szCs w:val="24"/>
              </w:rPr>
              <w:t>、项目情况反馈、</w:t>
            </w:r>
            <w:r>
              <w:rPr>
                <w:rFonts w:hint="eastAsia" w:asciiTheme="majorEastAsia" w:hAnsiTheme="majorEastAsia" w:eastAsiaTheme="majorEastAsia" w:cstheme="majorEastAsia"/>
                <w:color w:val="FF0000"/>
                <w:sz w:val="24"/>
                <w:szCs w:val="24"/>
                <w:lang w:val="en-US" w:eastAsia="zh-CN"/>
              </w:rPr>
              <w:t>项目售后问题对接等</w:t>
            </w:r>
            <w:r>
              <w:rPr>
                <w:rFonts w:hint="eastAsia" w:asciiTheme="majorEastAsia" w:hAnsiTheme="majorEastAsia" w:eastAsiaTheme="majorEastAsia" w:cstheme="majorEastAsia"/>
                <w:color w:val="000000" w:themeColor="text1"/>
                <w:sz w:val="24"/>
                <w:szCs w:val="24"/>
                <w14:textFill>
                  <w14:solidFill>
                    <w14:schemeClr w14:val="tx1"/>
                  </w14:solidFill>
                </w14:textFill>
              </w:rPr>
              <w:t>的得</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1</w:t>
            </w:r>
            <w:r>
              <w:rPr>
                <w:rFonts w:hint="eastAsia" w:asciiTheme="majorEastAsia" w:hAnsiTheme="majorEastAsia" w:eastAsiaTheme="majorEastAsia" w:cstheme="majorEastAsia"/>
                <w:color w:val="000000" w:themeColor="text1"/>
                <w:sz w:val="24"/>
                <w:szCs w:val="24"/>
                <w14:textFill>
                  <w14:solidFill>
                    <w14:schemeClr w14:val="tx1"/>
                  </w14:solidFill>
                </w14:textFill>
              </w:rPr>
              <w:t>分，</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供应商</w:t>
            </w:r>
            <w:r>
              <w:rPr>
                <w:rFonts w:hint="eastAsia" w:asciiTheme="majorEastAsia" w:hAnsiTheme="majorEastAsia" w:eastAsiaTheme="majorEastAsia" w:cstheme="majorEastAsia"/>
                <w:color w:val="000000" w:themeColor="text1"/>
                <w:sz w:val="24"/>
                <w:szCs w:val="24"/>
                <w14:textFill>
                  <w14:solidFill>
                    <w14:schemeClr w14:val="tx1"/>
                  </w14:solidFill>
                </w14:textFill>
              </w:rPr>
              <w:t>需提供</w:t>
            </w:r>
            <w:r>
              <w:rPr>
                <w:rFonts w:hint="eastAsia" w:asciiTheme="majorEastAsia" w:hAnsiTheme="majorEastAsia" w:eastAsiaTheme="majorEastAsia" w:cstheme="majorEastAsia"/>
                <w:color w:val="FF0000"/>
                <w:sz w:val="24"/>
                <w:szCs w:val="24"/>
              </w:rPr>
              <w:t>承诺函、身份证复印件及投标截止时间前6个月任意一个月（含投标当月）的社保证明材料</w:t>
            </w:r>
            <w:r>
              <w:rPr>
                <w:rFonts w:hint="eastAsia" w:asciiTheme="majorEastAsia" w:hAnsiTheme="majorEastAsia" w:eastAsiaTheme="majorEastAsia" w:cstheme="majorEastAsia"/>
                <w:color w:val="000000" w:themeColor="text1"/>
                <w:sz w:val="24"/>
                <w:szCs w:val="24"/>
                <w14:textFill>
                  <w14:solidFill>
                    <w14:schemeClr w14:val="tx1"/>
                  </w14:solidFill>
                </w14:textFill>
              </w:rPr>
              <w:t>，未提供或提供不全的不得分。</w:t>
            </w:r>
          </w:p>
        </w:tc>
      </w:tr>
    </w:tbl>
    <w:p w14:paraId="01A2704A">
      <w:pPr>
        <w:pStyle w:val="3"/>
        <w:bidi w:val="0"/>
        <w:spacing w:line="240" w:lineRule="auto"/>
        <w:rPr>
          <w:rFonts w:hint="eastAsia"/>
          <w:highlight w:val="yellow"/>
        </w:rPr>
      </w:pPr>
      <w:bookmarkStart w:id="5" w:name="_Toc23763"/>
      <w:r>
        <w:rPr>
          <w:rFonts w:hint="eastAsia"/>
          <w:highlight w:val="yellow"/>
        </w:rPr>
        <w:t>商务部分评分PB满分为</w:t>
      </w:r>
      <w:r>
        <w:rPr>
          <w:rFonts w:hint="eastAsia"/>
          <w:highlight w:val="yellow"/>
          <w:lang w:val="en-US" w:eastAsia="zh-CN"/>
        </w:rPr>
        <w:t>9</w:t>
      </w:r>
      <w:r>
        <w:rPr>
          <w:rFonts w:hint="eastAsia"/>
          <w:highlight w:val="yellow"/>
        </w:rPr>
        <w:t>.00分</w:t>
      </w:r>
      <w:bookmarkEnd w:id="5"/>
    </w:p>
    <w:tbl>
      <w:tblPr>
        <w:tblStyle w:val="19"/>
        <w:tblW w:w="4982"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19"/>
        <w:gridCol w:w="949"/>
        <w:gridCol w:w="6751"/>
      </w:tblGrid>
      <w:tr w14:paraId="0B8213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9" w:type="pct"/>
          </w:tcPr>
          <w:p w14:paraId="450EF480">
            <w:pPr>
              <w:pStyle w:val="24"/>
              <w:keepNext w:val="0"/>
              <w:keepLines w:val="0"/>
              <w:pageBreakBefore w:val="0"/>
              <w:kinsoku/>
              <w:overflowPunct/>
              <w:topLinePunct w:val="0"/>
              <w:bidi w:val="0"/>
              <w:snapToGrid/>
              <w:spacing w:line="240" w:lineRule="auto"/>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w:t>
            </w:r>
          </w:p>
        </w:tc>
        <w:tc>
          <w:tcPr>
            <w:tcW w:w="483" w:type="pct"/>
          </w:tcPr>
          <w:p w14:paraId="42215C17">
            <w:pPr>
              <w:pStyle w:val="24"/>
              <w:keepNext w:val="0"/>
              <w:keepLines w:val="0"/>
              <w:pageBreakBefore w:val="0"/>
              <w:kinsoku/>
              <w:overflowPunct/>
              <w:topLinePunct w:val="0"/>
              <w:bidi w:val="0"/>
              <w:snapToGrid/>
              <w:spacing w:line="240" w:lineRule="auto"/>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分值</w:t>
            </w:r>
          </w:p>
        </w:tc>
        <w:tc>
          <w:tcPr>
            <w:tcW w:w="3437" w:type="pct"/>
          </w:tcPr>
          <w:p w14:paraId="346EA2C7">
            <w:pPr>
              <w:pStyle w:val="24"/>
              <w:keepNext w:val="0"/>
              <w:keepLines w:val="0"/>
              <w:pageBreakBefore w:val="0"/>
              <w:kinsoku/>
              <w:overflowPunct/>
              <w:topLinePunct w:val="0"/>
              <w:bidi w:val="0"/>
              <w:snapToGrid/>
              <w:spacing w:line="240" w:lineRule="auto"/>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描述</w:t>
            </w:r>
          </w:p>
        </w:tc>
      </w:tr>
      <w:tr w14:paraId="696107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9" w:type="pct"/>
          </w:tcPr>
          <w:p w14:paraId="46F383FA">
            <w:pPr>
              <w:pStyle w:val="24"/>
              <w:keepNext w:val="0"/>
              <w:keepLines w:val="0"/>
              <w:pageBreakBefore w:val="0"/>
              <w:kinsoku/>
              <w:overflowPunct/>
              <w:topLinePunct w:val="0"/>
              <w:bidi w:val="0"/>
              <w:snapToGrid/>
              <w:spacing w:line="240" w:lineRule="auto"/>
              <w:jc w:val="center"/>
              <w:textAlignment w:val="auto"/>
              <w:rPr>
                <w:rFonts w:hint="eastAsia" w:ascii="宋体" w:hAnsi="宋体" w:eastAsia="宋体" w:cs="宋体"/>
                <w:b/>
                <w:color w:val="auto"/>
                <w:sz w:val="24"/>
                <w:szCs w:val="24"/>
                <w:highlight w:val="none"/>
              </w:rPr>
            </w:pPr>
          </w:p>
        </w:tc>
        <w:tc>
          <w:tcPr>
            <w:tcW w:w="483" w:type="pct"/>
          </w:tcPr>
          <w:p w14:paraId="613D71DD">
            <w:pPr>
              <w:pStyle w:val="24"/>
              <w:keepNext w:val="0"/>
              <w:keepLines w:val="0"/>
              <w:pageBreakBefore w:val="0"/>
              <w:kinsoku/>
              <w:overflowPunct/>
              <w:topLinePunct w:val="0"/>
              <w:bidi w:val="0"/>
              <w:snapToGrid/>
              <w:spacing w:line="240" w:lineRule="auto"/>
              <w:jc w:val="center"/>
              <w:textAlignment w:val="auto"/>
              <w:rPr>
                <w:rFonts w:hint="eastAsia" w:ascii="宋体" w:hAnsi="宋体" w:eastAsia="宋体" w:cs="宋体"/>
                <w:b/>
                <w:color w:val="auto"/>
                <w:sz w:val="24"/>
                <w:szCs w:val="24"/>
                <w:highlight w:val="none"/>
              </w:rPr>
            </w:pPr>
          </w:p>
        </w:tc>
        <w:tc>
          <w:tcPr>
            <w:tcW w:w="3437" w:type="pct"/>
          </w:tcPr>
          <w:p w14:paraId="2A8FF36A">
            <w:pPr>
              <w:pStyle w:val="24"/>
              <w:keepNext w:val="0"/>
              <w:keepLines w:val="0"/>
              <w:pageBreakBefore w:val="0"/>
              <w:kinsoku/>
              <w:overflowPunct/>
              <w:topLinePunct w:val="0"/>
              <w:bidi w:val="0"/>
              <w:snapToGrid/>
              <w:spacing w:line="240" w:lineRule="auto"/>
              <w:jc w:val="center"/>
              <w:textAlignment w:val="auto"/>
              <w:rPr>
                <w:rFonts w:hint="eastAsia" w:ascii="宋体" w:hAnsi="宋体" w:eastAsia="宋体" w:cs="宋体"/>
                <w:b/>
                <w:color w:val="auto"/>
                <w:sz w:val="24"/>
                <w:szCs w:val="24"/>
                <w:highlight w:val="none"/>
              </w:rPr>
            </w:pPr>
          </w:p>
        </w:tc>
      </w:tr>
      <w:tr w14:paraId="442EE0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9" w:type="pct"/>
            <w:shd w:val="clear" w:color="auto" w:fill="auto"/>
            <w:vAlign w:val="center"/>
          </w:tcPr>
          <w:p w14:paraId="4D26B51F">
            <w:pPr>
              <w:pStyle w:val="26"/>
              <w:widowControl/>
              <w:snapToGrid w:val="0"/>
              <w:spacing w:line="240" w:lineRule="auto"/>
              <w:jc w:val="cente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pP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1.业绩</w:t>
            </w:r>
          </w:p>
        </w:tc>
        <w:tc>
          <w:tcPr>
            <w:tcW w:w="483" w:type="pct"/>
            <w:shd w:val="clear" w:color="auto" w:fill="auto"/>
            <w:vAlign w:val="center"/>
          </w:tcPr>
          <w:p w14:paraId="28CF0A80">
            <w:pPr>
              <w:pStyle w:val="26"/>
              <w:widowControl/>
              <w:snapToGrid w:val="0"/>
              <w:spacing w:line="240" w:lineRule="auto"/>
              <w:jc w:val="cente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pP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3.00</w:t>
            </w:r>
          </w:p>
        </w:tc>
        <w:tc>
          <w:tcPr>
            <w:tcW w:w="3437" w:type="pct"/>
            <w:shd w:val="clear" w:color="auto" w:fill="auto"/>
            <w:vAlign w:val="center"/>
          </w:tcPr>
          <w:p w14:paraId="6E469177">
            <w:pPr>
              <w:pStyle w:val="26"/>
              <w:widowControl/>
              <w:snapToGrid w:val="0"/>
              <w:spacing w:line="240" w:lineRule="auto"/>
              <w:jc w:val="both"/>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pP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根据供应商自2022年1月1日至本项目响应截止时间止(日期以合同签订日期为准)由供应商独立承接的</w:t>
            </w:r>
            <w:r>
              <w:rPr>
                <w:rStyle w:val="27"/>
                <w:rFonts w:hint="eastAsia" w:asciiTheme="majorEastAsia" w:hAnsiTheme="majorEastAsia" w:eastAsiaTheme="majorEastAsia" w:cstheme="majorEastAsia"/>
                <w:color w:val="FF0000"/>
                <w:spacing w:val="-2"/>
                <w:sz w:val="24"/>
                <w:szCs w:val="24"/>
                <w:lang w:val="en-US" w:eastAsia="zh-CN"/>
              </w:rPr>
              <w:t>同类型项目业绩情况</w:t>
            </w: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，由磋商小组进行评议：每提供一项有效业绩证明材料的得1分，满分3分。</w:t>
            </w:r>
          </w:p>
          <w:p w14:paraId="3CF39AB1">
            <w:pPr>
              <w:pStyle w:val="26"/>
              <w:widowControl/>
              <w:snapToGrid w:val="0"/>
              <w:spacing w:line="240" w:lineRule="auto"/>
              <w:jc w:val="both"/>
              <w:rPr>
                <w:rFonts w:hint="eastAsia" w:asciiTheme="majorEastAsia" w:hAnsiTheme="majorEastAsia" w:eastAsiaTheme="majorEastAsia" w:cstheme="majorEastAsia"/>
                <w:color w:val="000000" w:themeColor="text1"/>
                <w:kern w:val="0"/>
                <w:sz w:val="24"/>
                <w:szCs w:val="24"/>
                <w14:textFill>
                  <w14:solidFill>
                    <w14:schemeClr w14:val="tx1"/>
                  </w14:solidFill>
                </w14:textFill>
              </w:rPr>
            </w:pP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【须提供采购合同文本复印件，未提供证明材料的，不予计分】</w:t>
            </w:r>
          </w:p>
        </w:tc>
      </w:tr>
      <w:tr w14:paraId="22E45E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9" w:type="pct"/>
            <w:shd w:val="clear" w:color="auto" w:fill="auto"/>
            <w:vAlign w:val="center"/>
          </w:tcPr>
          <w:p w14:paraId="6F79FA63">
            <w:pPr>
              <w:pStyle w:val="26"/>
              <w:widowControl/>
              <w:snapToGrid w:val="0"/>
              <w:spacing w:line="240" w:lineRule="auto"/>
              <w:jc w:val="cente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2</w:t>
            </w:r>
            <w:r>
              <w:rPr>
                <w:rFonts w:hint="eastAsia" w:asciiTheme="majorEastAsia" w:hAnsiTheme="majorEastAsia" w:eastAsiaTheme="majorEastAsia" w:cstheme="majorEastAsia"/>
                <w:color w:val="000000" w:themeColor="text1"/>
                <w:sz w:val="24"/>
                <w:szCs w:val="24"/>
                <w14:textFill>
                  <w14:solidFill>
                    <w14:schemeClr w14:val="tx1"/>
                  </w14:solidFill>
                </w14:textFill>
              </w:rPr>
              <w:t>、用户评价</w:t>
            </w:r>
          </w:p>
        </w:tc>
        <w:tc>
          <w:tcPr>
            <w:tcW w:w="483" w:type="pct"/>
            <w:shd w:val="clear" w:color="auto" w:fill="auto"/>
            <w:vAlign w:val="center"/>
          </w:tcPr>
          <w:p w14:paraId="5A02296C">
            <w:pPr>
              <w:pStyle w:val="26"/>
              <w:widowControl/>
              <w:snapToGrid w:val="0"/>
              <w:spacing w:line="240" w:lineRule="auto"/>
              <w:jc w:val="cente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pP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3.00</w:t>
            </w:r>
          </w:p>
        </w:tc>
        <w:tc>
          <w:tcPr>
            <w:tcW w:w="3437" w:type="pct"/>
            <w:shd w:val="clear" w:color="auto" w:fill="auto"/>
            <w:vAlign w:val="center"/>
          </w:tcPr>
          <w:p w14:paraId="087717B5">
            <w:pPr>
              <w:pStyle w:val="26"/>
              <w:widowControl/>
              <w:snapToGrid w:val="0"/>
              <w:spacing w:line="240" w:lineRule="auto"/>
              <w:jc w:val="both"/>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根据供应商自2022年1月1日至本项目响应截止时间止(日期以用户评价落款日期为准)</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由</w:t>
            </w:r>
            <w:r>
              <w:rPr>
                <w:rFonts w:hint="eastAsia" w:asciiTheme="majorEastAsia" w:hAnsiTheme="majorEastAsia" w:eastAsiaTheme="majorEastAsia" w:cstheme="majorEastAsia"/>
                <w:color w:val="FF0000"/>
                <w:sz w:val="24"/>
                <w:szCs w:val="24"/>
                <w:lang w:eastAsia="zh-CN"/>
              </w:rPr>
              <w:t>供应商</w:t>
            </w:r>
            <w:r>
              <w:rPr>
                <w:rFonts w:hint="eastAsia" w:asciiTheme="majorEastAsia" w:hAnsiTheme="majorEastAsia" w:eastAsiaTheme="majorEastAsia" w:cstheme="majorEastAsia"/>
                <w:color w:val="FF0000"/>
                <w:sz w:val="24"/>
                <w:szCs w:val="24"/>
              </w:rPr>
              <w:t>提供采购单位出具的能说明采购单位对</w:t>
            </w:r>
            <w:r>
              <w:rPr>
                <w:rFonts w:hint="eastAsia" w:asciiTheme="majorEastAsia" w:hAnsiTheme="majorEastAsia" w:eastAsiaTheme="majorEastAsia" w:cstheme="majorEastAsia"/>
                <w:color w:val="FF0000"/>
                <w:sz w:val="24"/>
                <w:szCs w:val="24"/>
                <w:lang w:eastAsia="zh-CN"/>
              </w:rPr>
              <w:t>供应商</w:t>
            </w:r>
            <w:r>
              <w:rPr>
                <w:rFonts w:hint="eastAsia" w:asciiTheme="majorEastAsia" w:hAnsiTheme="majorEastAsia" w:eastAsiaTheme="majorEastAsia" w:cstheme="majorEastAsia"/>
                <w:color w:val="FF0000"/>
                <w:sz w:val="24"/>
                <w:szCs w:val="24"/>
              </w:rPr>
              <w:t>所提供货物及服务持肯定、满意态度的材料</w:t>
            </w:r>
            <w:r>
              <w:rPr>
                <w:rFonts w:hint="eastAsia" w:asciiTheme="majorEastAsia" w:hAnsiTheme="majorEastAsia" w:eastAsiaTheme="majorEastAsia" w:cstheme="majorEastAsia"/>
                <w:color w:val="000000" w:themeColor="text1"/>
                <w:sz w:val="24"/>
                <w:szCs w:val="24"/>
                <w14:textFill>
                  <w14:solidFill>
                    <w14:schemeClr w14:val="tx1"/>
                  </w14:solidFill>
                </w14:textFill>
              </w:rPr>
              <w:t>，每提供1项用户满意度证明为优或良好或满意或95分及以上同等好评的得1分，满分</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3</w:t>
            </w:r>
            <w:r>
              <w:rPr>
                <w:rFonts w:hint="eastAsia" w:asciiTheme="majorEastAsia" w:hAnsiTheme="majorEastAsia" w:eastAsiaTheme="majorEastAsia" w:cstheme="majorEastAsia"/>
                <w:color w:val="000000" w:themeColor="text1"/>
                <w:sz w:val="24"/>
                <w:szCs w:val="24"/>
                <w14:textFill>
                  <w14:solidFill>
                    <w14:schemeClr w14:val="tx1"/>
                  </w14:solidFill>
                </w14:textFill>
              </w:rPr>
              <w:t>分。</w:t>
            </w:r>
          </w:p>
          <w:p w14:paraId="7ED9E3BA">
            <w:pPr>
              <w:pStyle w:val="26"/>
              <w:widowControl/>
              <w:snapToGrid w:val="0"/>
              <w:spacing w:line="240" w:lineRule="auto"/>
              <w:jc w:val="both"/>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pP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供应商</w:t>
            </w:r>
            <w:r>
              <w:rPr>
                <w:rFonts w:hint="eastAsia" w:asciiTheme="majorEastAsia" w:hAnsiTheme="majorEastAsia" w:eastAsiaTheme="majorEastAsia" w:cstheme="majorEastAsia"/>
                <w:color w:val="000000" w:themeColor="text1"/>
                <w:sz w:val="24"/>
                <w:szCs w:val="24"/>
                <w14:textFill>
                  <w14:solidFill>
                    <w14:schemeClr w14:val="tx1"/>
                  </w14:solidFill>
                </w14:textFill>
              </w:rPr>
              <w:t>须同时提供采购合同文本复印件、业主评价满意证明文本（证明文本须加盖业主公章或部门章），并提供业主单位名称、联系人、联系电话，以便核实，未提供或提供不完整不得分。（注：同一业主单位出具的满意度证明材料不重复得分，与业绩情况提供相同项目的不重复得分）</w:t>
            </w: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w:t>
            </w:r>
          </w:p>
        </w:tc>
      </w:tr>
      <w:tr w14:paraId="71E855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0" w:type="dxa"/>
            <w:shd w:val="clear" w:color="auto" w:fill="auto"/>
            <w:vAlign w:val="center"/>
          </w:tcPr>
          <w:p w14:paraId="4B1C50B9">
            <w:pPr>
              <w:pStyle w:val="24"/>
              <w:spacing w:line="240" w:lineRule="auto"/>
              <w:jc w:val="cente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3</w:t>
            </w:r>
            <w:r>
              <w:rPr>
                <w:rFonts w:hint="eastAsia" w:asciiTheme="majorEastAsia" w:hAnsiTheme="majorEastAsia" w:eastAsiaTheme="majorEastAsia" w:cstheme="majorEastAsia"/>
                <w:color w:val="000000" w:themeColor="text1"/>
                <w:sz w:val="24"/>
                <w:szCs w:val="24"/>
                <w14:textFill>
                  <w14:solidFill>
                    <w14:schemeClr w14:val="tx1"/>
                  </w14:solidFill>
                </w14:textFill>
              </w:rPr>
              <w:t>、售后服务承诺情况</w:t>
            </w:r>
          </w:p>
        </w:tc>
        <w:tc>
          <w:tcPr>
            <w:tcW w:w="949" w:type="dxa"/>
            <w:shd w:val="clear" w:color="auto" w:fill="auto"/>
            <w:vAlign w:val="center"/>
          </w:tcPr>
          <w:p w14:paraId="4D1A9006">
            <w:pPr>
              <w:pStyle w:val="24"/>
              <w:spacing w:line="240" w:lineRule="auto"/>
              <w:jc w:val="center"/>
              <w:rPr>
                <w:rFonts w:hint="eastAsia" w:asciiTheme="majorEastAsia" w:hAnsiTheme="majorEastAsia" w:eastAsiaTheme="majorEastAsia" w:cstheme="majorEastAsia"/>
                <w:b w:val="0"/>
                <w:bCs w:val="0"/>
                <w:color w:val="000000" w:themeColor="text1"/>
                <w:sz w:val="24"/>
                <w:szCs w:val="24"/>
                <w:highlight w:val="none"/>
                <w:lang w:val="en-US" w:eastAsia="zh-Hans"/>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3.00</w:t>
            </w:r>
          </w:p>
        </w:tc>
        <w:tc>
          <w:tcPr>
            <w:tcW w:w="3437" w:type="pct"/>
            <w:shd w:val="clear" w:color="auto" w:fill="auto"/>
            <w:vAlign w:val="top"/>
          </w:tcPr>
          <w:p w14:paraId="3C1ED6F7">
            <w:pPr>
              <w:pStyle w:val="24"/>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Theme="majorEastAsia" w:hAnsiTheme="majorEastAsia" w:eastAsiaTheme="majorEastAsia" w:cstheme="majorEastAsia"/>
                <w:b w:val="0"/>
                <w:bCs w:val="0"/>
                <w:color w:val="000000" w:themeColor="text1"/>
                <w:sz w:val="24"/>
                <w:szCs w:val="24"/>
                <w:highlight w:val="none"/>
                <w:lang w:val="en-US" w:eastAsia="zh-Hans"/>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根据</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供应商</w:t>
            </w:r>
            <w:r>
              <w:rPr>
                <w:rFonts w:hint="eastAsia" w:asciiTheme="majorEastAsia" w:hAnsiTheme="majorEastAsia" w:eastAsiaTheme="majorEastAsia" w:cstheme="majorEastAsia"/>
                <w:color w:val="000000" w:themeColor="text1"/>
                <w:sz w:val="24"/>
                <w:szCs w:val="24"/>
                <w14:textFill>
                  <w14:solidFill>
                    <w14:schemeClr w14:val="tx1"/>
                  </w14:solidFill>
                </w14:textFill>
              </w:rPr>
              <w:t>提供的</w:t>
            </w:r>
            <w:r>
              <w:rPr>
                <w:rFonts w:hint="eastAsia" w:asciiTheme="majorEastAsia" w:hAnsiTheme="majorEastAsia" w:eastAsiaTheme="majorEastAsia" w:cstheme="majorEastAsia"/>
                <w:color w:val="FF0000"/>
                <w:sz w:val="24"/>
                <w:szCs w:val="24"/>
              </w:rPr>
              <w:t>售后服务承诺情况</w:t>
            </w:r>
            <w:r>
              <w:rPr>
                <w:rFonts w:hint="eastAsia" w:asciiTheme="majorEastAsia" w:hAnsiTheme="majorEastAsia" w:eastAsiaTheme="majorEastAsia" w:cstheme="majorEastAsia"/>
                <w:color w:val="FF0000"/>
                <w:sz w:val="24"/>
                <w:szCs w:val="24"/>
                <w:lang w:eastAsia="zh-CN"/>
              </w:rPr>
              <w:t>，</w:t>
            </w:r>
            <w:r>
              <w:rPr>
                <w:rFonts w:hint="eastAsia" w:asciiTheme="majorEastAsia" w:hAnsiTheme="majorEastAsia" w:eastAsiaTheme="majorEastAsia" w:cstheme="majorEastAsia"/>
                <w:color w:val="000000" w:themeColor="text1"/>
                <w:sz w:val="24"/>
                <w:szCs w:val="24"/>
                <w14:textFill>
                  <w14:solidFill>
                    <w14:schemeClr w14:val="tx1"/>
                  </w14:solidFill>
                </w14:textFill>
              </w:rPr>
              <w:t>包括具体的</w:t>
            </w:r>
            <w:r>
              <w:rPr>
                <w:rFonts w:hint="eastAsia" w:asciiTheme="majorEastAsia" w:hAnsiTheme="majorEastAsia" w:eastAsiaTheme="majorEastAsia" w:cstheme="majorEastAsia"/>
                <w:color w:val="FF0000"/>
                <w:sz w:val="24"/>
                <w:szCs w:val="24"/>
                <w:lang w:val="en-US" w:eastAsia="zh-CN"/>
              </w:rPr>
              <w:t>①</w:t>
            </w:r>
            <w:r>
              <w:rPr>
                <w:rFonts w:hint="eastAsia" w:asciiTheme="majorEastAsia" w:hAnsiTheme="majorEastAsia" w:eastAsiaTheme="majorEastAsia" w:cstheme="majorEastAsia"/>
                <w:color w:val="FF0000"/>
                <w:sz w:val="24"/>
                <w:szCs w:val="24"/>
              </w:rPr>
              <w:t>售后服务内容</w:t>
            </w:r>
            <w:r>
              <w:rPr>
                <w:rFonts w:hint="eastAsia" w:asciiTheme="majorEastAsia" w:hAnsiTheme="majorEastAsia" w:eastAsiaTheme="majorEastAsia" w:cstheme="majorEastAsia"/>
                <w:color w:val="FF0000"/>
                <w:sz w:val="24"/>
                <w:szCs w:val="24"/>
                <w:lang w:eastAsia="zh-CN"/>
              </w:rPr>
              <w:t>；</w:t>
            </w:r>
            <w:r>
              <w:rPr>
                <w:rFonts w:hint="eastAsia" w:asciiTheme="majorEastAsia" w:hAnsiTheme="majorEastAsia" w:eastAsiaTheme="majorEastAsia" w:cstheme="majorEastAsia"/>
                <w:color w:val="FF0000"/>
                <w:sz w:val="24"/>
                <w:szCs w:val="24"/>
                <w:lang w:val="en-US" w:eastAsia="zh-CN"/>
              </w:rPr>
              <w:t>②</w:t>
            </w:r>
            <w:r>
              <w:rPr>
                <w:rFonts w:hint="eastAsia" w:asciiTheme="majorEastAsia" w:hAnsiTheme="majorEastAsia" w:eastAsiaTheme="majorEastAsia" w:cstheme="majorEastAsia"/>
                <w:color w:val="FF0000"/>
                <w:sz w:val="24"/>
                <w:szCs w:val="24"/>
              </w:rPr>
              <w:t>售后服务机构设置的便捷性</w:t>
            </w:r>
            <w:r>
              <w:rPr>
                <w:rFonts w:hint="eastAsia" w:asciiTheme="majorEastAsia" w:hAnsiTheme="majorEastAsia" w:eastAsiaTheme="majorEastAsia" w:cstheme="majorEastAsia"/>
                <w:color w:val="FF0000"/>
                <w:sz w:val="24"/>
                <w:szCs w:val="24"/>
                <w:lang w:eastAsia="zh-CN"/>
              </w:rPr>
              <w:t>；</w:t>
            </w:r>
            <w:r>
              <w:rPr>
                <w:rFonts w:hint="eastAsia" w:asciiTheme="majorEastAsia" w:hAnsiTheme="majorEastAsia" w:eastAsiaTheme="majorEastAsia" w:cstheme="majorEastAsia"/>
                <w:color w:val="FF0000"/>
                <w:sz w:val="24"/>
                <w:szCs w:val="24"/>
                <w:lang w:val="en-US" w:eastAsia="zh-CN"/>
              </w:rPr>
              <w:t>③</w:t>
            </w:r>
            <w:r>
              <w:rPr>
                <w:rFonts w:hint="eastAsia" w:asciiTheme="majorEastAsia" w:hAnsiTheme="majorEastAsia" w:eastAsiaTheme="majorEastAsia" w:cstheme="majorEastAsia"/>
                <w:color w:val="FF0000"/>
                <w:sz w:val="24"/>
                <w:szCs w:val="24"/>
              </w:rPr>
              <w:t>故障响应方式</w:t>
            </w:r>
            <w:r>
              <w:rPr>
                <w:rFonts w:hint="eastAsia" w:asciiTheme="majorEastAsia" w:hAnsiTheme="majorEastAsia" w:eastAsiaTheme="majorEastAsia" w:cstheme="majorEastAsia"/>
                <w:color w:val="FF0000"/>
                <w:sz w:val="24"/>
                <w:szCs w:val="24"/>
                <w:lang w:eastAsia="zh-CN"/>
              </w:rPr>
              <w:t>；</w:t>
            </w:r>
            <w:r>
              <w:rPr>
                <w:rFonts w:hint="eastAsia" w:asciiTheme="majorEastAsia" w:hAnsiTheme="majorEastAsia" w:eastAsiaTheme="majorEastAsia" w:cstheme="majorEastAsia"/>
                <w:color w:val="FF0000"/>
                <w:sz w:val="24"/>
                <w:szCs w:val="24"/>
                <w:lang w:val="en-US" w:eastAsia="zh-CN"/>
              </w:rPr>
              <w:t>④</w:t>
            </w:r>
            <w:r>
              <w:rPr>
                <w:rFonts w:hint="eastAsia" w:asciiTheme="majorEastAsia" w:hAnsiTheme="majorEastAsia" w:eastAsiaTheme="majorEastAsia" w:cstheme="majorEastAsia"/>
                <w:color w:val="FF0000"/>
                <w:sz w:val="24"/>
                <w:szCs w:val="24"/>
              </w:rPr>
              <w:t>承诺维修人员到达现场时间等方面</w:t>
            </w:r>
            <w:r>
              <w:rPr>
                <w:rFonts w:hint="eastAsia" w:asciiTheme="majorEastAsia" w:hAnsiTheme="majorEastAsia" w:eastAsiaTheme="majorEastAsia" w:cstheme="majorEastAsia"/>
                <w:color w:val="000000" w:themeColor="text1"/>
                <w:sz w:val="24"/>
                <w:szCs w:val="24"/>
                <w14:textFill>
                  <w14:solidFill>
                    <w14:schemeClr w14:val="tx1"/>
                  </w14:solidFill>
                </w14:textFill>
              </w:rPr>
              <w:t>，由</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磋商小组</w:t>
            </w:r>
            <w:r>
              <w:rPr>
                <w:rFonts w:hint="eastAsia" w:asciiTheme="majorEastAsia" w:hAnsiTheme="majorEastAsia" w:eastAsiaTheme="majorEastAsia" w:cstheme="majorEastAsia"/>
                <w:color w:val="000000" w:themeColor="text1"/>
                <w:sz w:val="24"/>
                <w:szCs w:val="24"/>
                <w14:textFill>
                  <w14:solidFill>
                    <w14:schemeClr w14:val="tx1"/>
                  </w14:solidFill>
                </w14:textFill>
              </w:rPr>
              <w:t>进行</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评议</w:t>
            </w:r>
            <w:r>
              <w:rPr>
                <w:rFonts w:hint="eastAsia" w:asciiTheme="majorEastAsia" w:hAnsiTheme="majorEastAsia" w:eastAsiaTheme="majorEastAsia" w:cstheme="majorEastAsia"/>
                <w:color w:val="000000" w:themeColor="text1"/>
                <w:sz w:val="24"/>
                <w:szCs w:val="24"/>
                <w14:textFill>
                  <w14:solidFill>
                    <w14:schemeClr w14:val="tx1"/>
                  </w14:solidFill>
                </w14:textFill>
              </w:rPr>
              <w:t>：（1）方案包含的要点齐全无缺漏项、内容与要点相符、每个要点均有展开详细的阐述且能够适用于本项目得3分；（2）方案所包含的要点齐全、内容与要点相符、每个要点均有展开阐述（没有特别具体）但基本能够适用于本项目的得2.</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5</w:t>
            </w:r>
            <w:r>
              <w:rPr>
                <w:rFonts w:hint="eastAsia" w:asciiTheme="majorEastAsia" w:hAnsiTheme="majorEastAsia" w:eastAsiaTheme="majorEastAsia" w:cstheme="majorEastAsia"/>
                <w:color w:val="000000" w:themeColor="text1"/>
                <w:sz w:val="24"/>
                <w:szCs w:val="24"/>
                <w14:textFill>
                  <w14:solidFill>
                    <w14:schemeClr w14:val="tx1"/>
                  </w14:solidFill>
                </w14:textFill>
              </w:rPr>
              <w:t>分；（3）方案所包含的要点有缺漏、内容与要点相符但仅有纲要、内容简略，未展开详细阐述但基本能够适用于本项目的得2.</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25</w:t>
            </w:r>
            <w:r>
              <w:rPr>
                <w:rFonts w:hint="eastAsia" w:asciiTheme="majorEastAsia" w:hAnsiTheme="majorEastAsia" w:eastAsiaTheme="majorEastAsia" w:cstheme="majorEastAsia"/>
                <w:color w:val="000000" w:themeColor="text1"/>
                <w:sz w:val="24"/>
                <w:szCs w:val="24"/>
                <w14:textFill>
                  <w14:solidFill>
                    <w14:schemeClr w14:val="tx1"/>
                  </w14:solidFill>
                </w14:textFill>
              </w:rPr>
              <w:t>分；</w:t>
            </w:r>
            <w:r>
              <w:rPr>
                <w:rFonts w:hint="eastAsia" w:asciiTheme="majorEastAsia" w:hAnsiTheme="majorEastAsia" w:eastAsiaTheme="majorEastAsia" w:cstheme="majorEastAsia"/>
                <w:color w:val="000000" w:themeColor="text1"/>
                <w:kern w:val="0"/>
                <w:sz w:val="24"/>
                <w:szCs w:val="24"/>
                <w:lang w:val="en-US" w:eastAsia="zh-CN" w:bidi="ar-SA"/>
                <w14:textFill>
                  <w14:solidFill>
                    <w14:schemeClr w14:val="tx1"/>
                  </w14:solidFill>
                </w14:textFill>
              </w:rPr>
              <w:t>方案不符合要求的或未提供的不得分。</w:t>
            </w:r>
          </w:p>
        </w:tc>
      </w:tr>
    </w:tbl>
    <w:p w14:paraId="20DD3D0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（4）成交候选供应商排列规则顺序和并列相同时的处理约定如下：</w:t>
      </w:r>
    </w:p>
    <w:p w14:paraId="509D5BC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a.成交候选供应商按照综合评审总得分（FA）由高到低顺序排列推荐。</w:t>
      </w:r>
    </w:p>
    <w:p w14:paraId="19B4085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b.综合评审总得分（FA）相同的，按照经评审最后磋商报价（即经政府采购优惠政策进行价格扣除后的最后报价）由低到高顺序推荐。</w:t>
      </w:r>
    </w:p>
    <w:p w14:paraId="4384096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c.综合评审总得分（FA）且经评审最后磋商报价（即经政府采购优惠政策进行价格扣除后的最后报价）仍然相同的，按照技术指标优劣顺序推荐。</w:t>
      </w:r>
    </w:p>
    <w:p w14:paraId="36CF218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d.经前述顺序处理仍然并列相同的，则通过随机抽取方式确定优先顺序推荐。</w:t>
      </w:r>
    </w:p>
    <w:p w14:paraId="54EFBF9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无。</w:t>
      </w:r>
    </w:p>
    <w:p w14:paraId="44619161">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一、磋商小组</w:t>
      </w:r>
    </w:p>
    <w:p w14:paraId="288BAD4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1.1采购人根据项目的特点依法组建磋商小组。</w:t>
      </w:r>
    </w:p>
    <w:p w14:paraId="52ACC140">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1.2磋商小组</w:t>
      </w:r>
    </w:p>
    <w:p w14:paraId="40262F7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由采购人代表和评审专家两部分共3人组成，其中由评审专家库产生的评审专家</w:t>
      </w:r>
      <w:r>
        <w:rPr>
          <w:rFonts w:hint="eastAsia" w:ascii="宋体" w:hAnsi="宋体" w:eastAsia="宋体" w:cs="宋体"/>
          <w:color w:val="auto"/>
          <w:highlight w:val="none"/>
          <w:shd w:val="clear" w:color="auto" w:fill="FFFFFF"/>
          <w:lang w:val="en-US" w:eastAsia="zh-CN"/>
        </w:rPr>
        <w:t>3</w:t>
      </w:r>
      <w:r>
        <w:rPr>
          <w:rFonts w:hint="eastAsia" w:ascii="宋体" w:hAnsi="宋体" w:eastAsia="宋体" w:cs="宋体"/>
          <w:color w:val="auto"/>
          <w:highlight w:val="none"/>
          <w:shd w:val="clear" w:color="auto" w:fill="FFFFFF"/>
        </w:rPr>
        <w:t>人，由采购人派出的采购人代表</w:t>
      </w:r>
      <w:r>
        <w:rPr>
          <w:rFonts w:hint="eastAsia" w:ascii="宋体" w:hAnsi="宋体" w:eastAsia="宋体" w:cs="宋体"/>
          <w:color w:val="auto"/>
          <w:highlight w:val="none"/>
          <w:shd w:val="clear" w:color="auto" w:fill="FFFFFF"/>
          <w:lang w:val="en-US" w:eastAsia="zh-CN"/>
        </w:rPr>
        <w:t>0</w:t>
      </w:r>
      <w:r>
        <w:rPr>
          <w:rFonts w:hint="eastAsia" w:ascii="宋体" w:hAnsi="宋体" w:eastAsia="宋体" w:cs="宋体"/>
          <w:color w:val="auto"/>
          <w:highlight w:val="none"/>
          <w:shd w:val="clear" w:color="auto" w:fill="FFFFFF"/>
        </w:rPr>
        <w:t>人。技术复杂、专业性强的采购项目，评审专家中应当包含1名法律专家。</w:t>
      </w:r>
    </w:p>
    <w:p w14:paraId="0F5AEBC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1.3磋商小组负责具体磋商和评审事务，并按照下列原则依法独立履行有关职责：</w:t>
      </w:r>
    </w:p>
    <w:p w14:paraId="4C64951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1.3.1评审应保护国家利益、社会公共利益和各方当事人合法权益，提高采购效益，保证项目质量。</w:t>
      </w:r>
    </w:p>
    <w:p w14:paraId="0A53A30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1.3.2评审应遵循公平、公正、科学、严谨和择优原则。</w:t>
      </w:r>
    </w:p>
    <w:p w14:paraId="497C7FD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1.3.3评审的依据是磋商文件和响应文件，磋商文件中没有规定的评审标准不得作为评审依据。</w:t>
      </w:r>
    </w:p>
    <w:p w14:paraId="2863248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1.3.4磋商小组应按照磋商文件规定推荐成交候选供应商或根据采购人的授权确定成交人。</w:t>
      </w:r>
    </w:p>
    <w:p w14:paraId="670C2C2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1.3.5评审应遵守下列评审纪律：</w:t>
      </w:r>
    </w:p>
    <w:p w14:paraId="62BC1E8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①评审情况不得私自外泄，有关信息由采购人或其委托的代理机构统一对外发布。</w:t>
      </w:r>
    </w:p>
    <w:p w14:paraId="20C559B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②对采购人或供应商提供的要求保密的资料，不得摘记翻印和外传。</w:t>
      </w:r>
    </w:p>
    <w:p w14:paraId="683E29B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③不得收受供应商或有关人员的任何礼物，不得串联鼓动其他人袒护某供应商。若与供应商存在利害关系，则应主动声明并回避。</w:t>
      </w:r>
    </w:p>
    <w:p w14:paraId="396810E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④全体磋商小组成员应按照磋商文件规定进行评审，一切认定事项应查有实据且不得弄虚作假。</w:t>
      </w:r>
    </w:p>
    <w:p w14:paraId="4DA75B3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⑤评审中应充分发扬民主，推荐成交人候选人或根据采购人授权确定成交人后要服从评审报告。</w:t>
      </w:r>
    </w:p>
    <w:p w14:paraId="2657C76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※对违反评审纪律的评委，将取消其评委资格，对评审工作造成严重损失者将予以通报批评乃至追究法律责任。</w:t>
      </w:r>
    </w:p>
    <w:p w14:paraId="0574721F">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二、磋商程序</w:t>
      </w:r>
    </w:p>
    <w:p w14:paraId="06E7C49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2.1磋商程序按照磋商文件第二章第2节“竞争性磋商须知”第14条“磋商程序以及评审标准和方法”的相关条款规定执行。</w:t>
      </w:r>
    </w:p>
    <w:p w14:paraId="7505F9A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2.2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属于《政府采购竞争性磋商采购方式管理暂行办法》等相关法律法规及财政部门颁布的规范性文件允许的两家供应商进行竞争性磋商采购情形，则提交最后报价的供应商可以为两家。</w:t>
      </w:r>
    </w:p>
    <w:p w14:paraId="20A6B0F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无。</w:t>
      </w:r>
    </w:p>
    <w:p w14:paraId="03C7F32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2.3只有资格审查和实质性响应审查均合格且按规定提交最后报价的合格供应商才能参加综合评分。</w:t>
      </w:r>
    </w:p>
    <w:p w14:paraId="1DF1C8C7">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四、评审报告</w:t>
      </w:r>
    </w:p>
    <w:p w14:paraId="2B62C09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4.1磋商小组完成评审后，应当编写评审报告并提交给采购人。</w:t>
      </w:r>
    </w:p>
    <w:p w14:paraId="2AB1E81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4.2评审报告应当包括以下主要内容：</w:t>
      </w:r>
    </w:p>
    <w:p w14:paraId="12B2043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（一）邀请供应商参加采购活动的具体方式和相关情况；</w:t>
      </w:r>
    </w:p>
    <w:p w14:paraId="3D74C36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（二）响应文件开启日期和地点；</w:t>
      </w:r>
    </w:p>
    <w:p w14:paraId="440B684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（三）获取磋商文件的供应商名单和磋商小组成员名单；</w:t>
      </w:r>
    </w:p>
    <w:p w14:paraId="659A9B3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（四）评审情况记录和说明，包括对供应商的资格审查情况、供应商响应文件评审情况、磋商情况、报价情况等；</w:t>
      </w:r>
    </w:p>
    <w:p w14:paraId="23063D8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（五）提出的成交候选供应商的排序名单及理由。</w:t>
      </w:r>
    </w:p>
    <w:p w14:paraId="6270DA6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4.3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6D2412D">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五、其他规定</w:t>
      </w:r>
    </w:p>
    <w:p w14:paraId="5E116A8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5.1其他规定</w:t>
      </w:r>
    </w:p>
    <w:p w14:paraId="2C6ADA8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5.1.1评审应全程保密且不得透露给任一供应商或与评审工作无关的人员。</w:t>
      </w:r>
    </w:p>
    <w:p w14:paraId="7984040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5.1.2评审将进行全程实时录音录像，录音录像资料随采购文件一并存档。</w:t>
      </w:r>
    </w:p>
    <w:p w14:paraId="1D40414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5.1.3若供应商有任何试图干扰具体评审事务，影响磋商小组独立履行职责的行为，其响应无效且不予退还磋商保证金或通过保函进行索赔。情节严重的，由财政部门列入不良行为记录。</w:t>
      </w:r>
    </w:p>
    <w:p w14:paraId="663824B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5.1.4根据采购项目的特点和需要，需要加以详细说明的其他磋商程序规定、要求等内容：</w:t>
      </w:r>
    </w:p>
    <w:p w14:paraId="274D3DE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未按照磋商文件的变动情况和磋商小组的要求重新提交补充响应文件的供应商，磋商小组将否决其响应文件，按无效响应处理。（2）已提交响应文件的供应商，在提交最后报价之前，可以根据磋商情况退出磋商，须由其法定代表人或授权代表签字或者加盖公章。由授权代表签字的,应当附法定代表人授权书。供应商为自然人的,应当由本人签字并附身份证明。（3）磋商小组确定成交候选人时以最后报价为准，如磋商小组没有对磋商文件作实质性变动增加新的需求，后一轮报价不得高于前一轮报价，最后报价若高于前一轮报价按无效响应处理。（4）在规定时间内未进行最后报价的供应商视为退出磋商，按无效响应处理。</w:t>
      </w:r>
    </w:p>
    <w:p w14:paraId="16C092B0">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第2节竞争性磋商须知</w:t>
      </w:r>
    </w:p>
    <w:p w14:paraId="0AC049CF">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一、总则</w:t>
      </w:r>
    </w:p>
    <w:p w14:paraId="5694303C">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1.适用范围：</w:t>
      </w:r>
    </w:p>
    <w:p w14:paraId="476EC36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1.1适用于磋商文件载明项目的采购活动（以下简称：“本次采购活动”）。</w:t>
      </w:r>
    </w:p>
    <w:p w14:paraId="0F4946A5">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2.定义及要求：</w:t>
      </w:r>
    </w:p>
    <w:p w14:paraId="033241F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2.1“采购标的”指磋商文件载明的需要采购的货物、服务、工程。</w:t>
      </w:r>
    </w:p>
    <w:p w14:paraId="6F6EB1B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2.2“采购人”指本次采购项目的买方、或业主方、或甲方，具体见磋商文件第一章；“采购代理机构”系指接受采购人委托，组织开展竞争性磋商采购活动的代理机构，具体见磋商文件第一章。</w:t>
      </w:r>
    </w:p>
    <w:p w14:paraId="5EA5D25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2.3“潜在供应商”按照磋商文件第一章规定进行获取文件，且有意向参加本项目响应磋商的供应商。</w:t>
      </w:r>
    </w:p>
    <w:p w14:paraId="5B6EA0B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2.4“供应商”指按照磋商文件第一章规定进行获取文件，且已经提交响应文件的法人或其他组织或自然人。只有适合自然人参与和承接的政府采购项目，供应商才可以是自然人。</w:t>
      </w:r>
    </w:p>
    <w:p w14:paraId="42D734F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2.5“单位负责人”指单位法定代表人（供应商为法人的）或法律、法规规定代表单位行使职权的主要负责人（供应商为其他组织的）。</w:t>
      </w:r>
    </w:p>
    <w:p w14:paraId="3CB5130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2.6“供应商代表”指供应商（为法人或其他组织的）的单位负责人或由其授权的委托代理人，即单位负责人授权书中载明的接受授权方。供应商为自然人的，由本人签字并附身份证明。</w:t>
      </w:r>
    </w:p>
    <w:p w14:paraId="19FF5A4A">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3.合格的供应商：</w:t>
      </w:r>
    </w:p>
    <w:p w14:paraId="6A8192F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3.1一般规定</w:t>
      </w:r>
    </w:p>
    <w:p w14:paraId="4CD51FD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3.1.1供应商除了应遵守政府采购法及实施条例、政府采购非招标采购方式管理办法及财政部、福建省财政厅有关政府采购文件的规定外，还应遵守《中华人民共和国劳动合同法》有关规定和《中华人民共和国妇女权益保障法 》中关于“劳动和社会保障权益”的有关要求以及其他有关法律、法规和规章的强制性规定。</w:t>
      </w:r>
    </w:p>
    <w:p w14:paraId="4C15946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供应商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496E32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3.1.2为采购项目提供整体设计、规范编制或项目管理、监理、检测等服务的供应商，不得再参加该采购项目除整体设计、规范编制和项目管理、监理、检测等服务之外的其他采购活动。</w:t>
      </w:r>
    </w:p>
    <w:p w14:paraId="44F42600">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3.1.3列入失信被执行人、重大税收违法案件当事人名单、政府采购严重违法失信行为记录名单及其他不符合《中华人民共和国政府采购法》第二十二条规定条件的供应商，不得参加政府采购活动。</w:t>
      </w:r>
    </w:p>
    <w:p w14:paraId="2DB65970">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供应商有责任检查自身情况，在响应文件中对是否违反以上一般规定做出如实声明，否则其响应文件将被否决。</w:t>
      </w:r>
    </w:p>
    <w:p w14:paraId="07202BB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3.2特别规定</w:t>
      </w:r>
    </w:p>
    <w:p w14:paraId="4A017D6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3.2.1供应商的资格要求：详见竞争性磋商须知前附表第1项。</w:t>
      </w:r>
    </w:p>
    <w:p w14:paraId="7EA62D3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3.2.2是否接受联合体形式的响应磋商：详见竞争性磋商须知前附表第2项。若接受联合体形式且供应商为联合体，则联合体各方除了应遵守本章第3.1条规定外，还应遵守下列规定：</w:t>
      </w:r>
    </w:p>
    <w:p w14:paraId="36412F5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（1）联合体各方应提交联合体协议，联合体协议应符合磋商文件规定。</w:t>
      </w:r>
    </w:p>
    <w:p w14:paraId="2E8D1F8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（2）联合体各方不得再单独参加或与其他供应商另外组成联合体参加同一合同项下的响应磋商。</w:t>
      </w:r>
    </w:p>
    <w:p w14:paraId="51AC678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（3）联合体各方应共同与采购人签订政府采购合同，就政府采购合同约定的事项对采购人承担连带责任。</w:t>
      </w:r>
    </w:p>
    <w:p w14:paraId="06849E3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021E3C7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（5）联合体一方放弃成交的，视为联合体整体放弃成交，联合体各方承担连带责任。</w:t>
      </w:r>
    </w:p>
    <w:p w14:paraId="10AC740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（6）如本项目不接受联合体报价而供应商为联合体的，或者本项目接受联合体报价但供应商组成的联合体不符合本章第3.2条规定的，其报价无效。</w:t>
      </w:r>
    </w:p>
    <w:p w14:paraId="1DD34A2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3.2.3若接受联合体形式，单位负责人为同一人或者存在直接控股、管理关系的不同供应商可以组成一个联合体，以一个供应商的身份参加政府采购活动。若不接受联合体形式，则单位负责人为同一人或者存在直接控股、管理关系的不同供应商，不得参加同一合同项下的政府采购活动。</w:t>
      </w:r>
    </w:p>
    <w:p w14:paraId="1891081C">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4.参与竞争性磋商费用：</w:t>
      </w:r>
    </w:p>
    <w:p w14:paraId="41A8DF4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4.1除法律法规或采购文件另有规定之外，供应商应自行承担其准备与参加竞争性磋商所涉及的一切费用。</w:t>
      </w:r>
    </w:p>
    <w:p w14:paraId="30B907FD">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二、竞争性磋商文件</w:t>
      </w:r>
    </w:p>
    <w:p w14:paraId="0873151B">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5.竞争性磋商文件的组成：</w:t>
      </w:r>
    </w:p>
    <w:p w14:paraId="3674CD1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5.1竞争性磋商文件由下述部分组成：</w:t>
      </w:r>
    </w:p>
    <w:p w14:paraId="2C938FB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第一章采购公告（或采购邀请书）</w:t>
      </w:r>
    </w:p>
    <w:p w14:paraId="781D074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第二章竞争性磋商须知</w:t>
      </w:r>
    </w:p>
    <w:p w14:paraId="33B234A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第三章采购内容及要求</w:t>
      </w:r>
    </w:p>
    <w:p w14:paraId="0D38369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第四章合同主要条款及格式</w:t>
      </w:r>
    </w:p>
    <w:p w14:paraId="0C327FD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第五章首次响应文件格式</w:t>
      </w:r>
    </w:p>
    <w:p w14:paraId="2755825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5.2除上述内容以外，采购人、采购代理机构或者磋商小组在采购过程期间对磋商文件所作的澄清、修改或补充，均构成磋商文件的组成部分，对采购人和供应商具有约束力。</w:t>
      </w:r>
    </w:p>
    <w:p w14:paraId="22E49023">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6.竞争性磋商文件的澄清、补充、修改及现场考察等：</w:t>
      </w:r>
    </w:p>
    <w:p w14:paraId="3997EFB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6.1提交首次响应文件截止之日前，采购人、采购代理机构或者磋商小组可以对已发出的磋商文件进行必要的澄清、补充或者修改，澄清、补充或者修改的内容作为磋商文件的组成部分。澄清、补充或者修改的内容可能影响响应文件编制的，采购人、采购代理机构或者磋商小组将在提交首次响应文件截止时间5个日历日前，以书面形式通知所有获取磋商文件的潜在供应商，不足5个日历日的，采购人、采购代理机构或磋商小组将顺延提交首次响应文件的截止时间。</w:t>
      </w:r>
    </w:p>
    <w:p w14:paraId="186A9ED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6.2提交首次响应文件截止时间前，若采购人发布更正公告，则更正公告及其所发布的内容或信息（包括但不限于竞争性磋商文件的澄清、补充或修改等）作为磋商文件组成部分，对采购人和供应商具有约束力。更正公告作为采购人、采购代理机构或磋商小组通知所有潜在供应商的书面形式，潜在供应商务必随时关注磋商文件中载明的指定媒体，以免遗漏。</w:t>
      </w:r>
    </w:p>
    <w:p w14:paraId="3901152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6.3采购人、采购代理机构可以视采购项目的具体情况，组织供应商进行现场考察或召开磋商前答疑会，是否组织现场考察或召开磋商前答疑会详见竞争性磋商须知前附表第3项。</w:t>
      </w:r>
    </w:p>
    <w:p w14:paraId="0A4511AF">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三、响应文件编制</w:t>
      </w:r>
    </w:p>
    <w:p w14:paraId="72FA4DE9">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7.应标要求</w:t>
      </w:r>
    </w:p>
    <w:p w14:paraId="12095D5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7.1供应商可按照采购包号，对竞争性磋商文件中载明的全部或部分采购包进行响应。对于能够详细列明采购标的技术、服务要求的采购项目，供应商响应时，对同一个采购包内所有的采购内容和要求必须进行完整响应，否则其相应采购包的响应文件将被否决。</w:t>
      </w:r>
    </w:p>
    <w:p w14:paraId="7E2D36E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7.2供应商代表在同一个合同项下只能接受一个供应商的委托参加响应磋商，否则其响应文件将被否决。</w:t>
      </w:r>
    </w:p>
    <w:p w14:paraId="7B97BA5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7.3供应商应仔细阅读磋商文件的所有内容和要求，按磋商文件的规定提供响应文件，并对其所提供的全部资料、承诺和声明的真实性、合法性和准确性负责。</w:t>
      </w:r>
    </w:p>
    <w:p w14:paraId="68C9274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7.4除非竞争性磋商须知前附表另有规定外，供应商提供的响应文件应使用中文文本，若有不同文字文本，以中文文本为准。</w:t>
      </w:r>
    </w:p>
    <w:p w14:paraId="3AD0710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08A4816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7.6除非竞争性磋商须知前附表另有规定外，供应商承诺的报价应以人民币进行报价，合同实施结算时亦以人民币支付；所有计量均采用中华人民共和国法定计量单位。</w:t>
      </w:r>
    </w:p>
    <w:p w14:paraId="04AA3F33">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8.首次响应文件的组成：</w:t>
      </w:r>
    </w:p>
    <w:p w14:paraId="6B35EC2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8.1首次响应文件包括但不限于下列部分：</w:t>
      </w:r>
    </w:p>
    <w:p w14:paraId="080B7E0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（1）响应函</w:t>
      </w:r>
    </w:p>
    <w:p w14:paraId="46B85790">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（2）开标（报价）一览表（含投标（响应）报价明细表）</w:t>
      </w:r>
    </w:p>
    <w:p w14:paraId="7C504CC0">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（3）资格证明文件</w:t>
      </w:r>
    </w:p>
    <w:p w14:paraId="7413C77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（4）磋商保证金凭证</w:t>
      </w:r>
    </w:p>
    <w:p w14:paraId="7FA1115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（5）技术和商务偏离表</w:t>
      </w:r>
    </w:p>
    <w:p w14:paraId="64DD345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（6）相关技术、商务、服务响应承诺及资料</w:t>
      </w:r>
    </w:p>
    <w:p w14:paraId="161B9BE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（7）供应商提交的其他资料</w:t>
      </w:r>
    </w:p>
    <w:p w14:paraId="4AD47FB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（8）要求作为响应文件组成部分的其他内容（若有）</w:t>
      </w:r>
    </w:p>
    <w:p w14:paraId="3E8C1CDE">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9.响应文件有效期：</w:t>
      </w:r>
    </w:p>
    <w:p w14:paraId="5616082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9.1响应文件有效期见竞争性磋商须知前附表第4项，响应文件承诺的有效期不得少于磋商文件载明的有效期，否则其响应文件将被否决。</w:t>
      </w:r>
    </w:p>
    <w:p w14:paraId="26DFAB9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9.2特殊情况下采购人可于响应文件有效期满之前要求供应商同意延长有效期，要求与答复均应为书面形式。供应商可以拒绝延长有效期，且其磋商保证金可以退还，但其供应商资格将被取消。同意延长有效期的供应商，不需要也不允许修改其响应文件及磋商承诺，但将要求其相应延长磋商保证金有效期，有关退还和不予退还磋商保证金的规定在有效期延长期内继续有效。</w:t>
      </w:r>
    </w:p>
    <w:p w14:paraId="7ABC5426">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10.磋商保证金：</w:t>
      </w:r>
    </w:p>
    <w:p w14:paraId="59B5948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10.1供应商应按竞争性磋商文件规定的金额、形式等要求提交磋商保证金。磋商文件若接受联合体形式且供应商为联合体的，则可以由联合体中的牵头方提交磋商保证金，其提交的磋商保证金对联合体各方均具有约束力。</w:t>
      </w:r>
    </w:p>
    <w:p w14:paraId="4FF5CE3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10.1.1供应商以汇款形式缴纳磋商保证金的，应从其银行账户（基本存款账户）按照下列方式：公对公转账方式向磋商文件载明的磋商保证金账户提交磋商保证金。磋商保证金应于首次响应文件递交截止时间前到达磋商文件载明的磋商保证金账户，否则视为磋商保证金未提交。</w:t>
      </w:r>
    </w:p>
    <w:p w14:paraId="29C335F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10.1.2供应商以电子保函形式提交磋商保证金的，可在磋商文件载明的首次响应文件递交截止时间前通过福建省政府采购平台“保函服务”栏目办理电子保函并在电汇或银行转账单上注明（项目编号）；在首次响应文件递交截止时间前将电子保函文件放入电子响应文件中，否则视为未提交磋商保证金。保函的有效期应等于或长于电子响应文件承诺的有效期，否则其响应文件将被否决。</w:t>
      </w:r>
      <w:r>
        <w:rPr>
          <w:rFonts w:hint="eastAsia" w:ascii="宋体" w:hAnsi="宋体" w:eastAsia="宋体" w:cs="宋体"/>
          <w:color w:val="auto"/>
          <w:highlight w:val="none"/>
          <w:shd w:val="clear" w:color="auto" w:fill="FFFFFF"/>
          <w:lang w:eastAsia="zh-CN"/>
        </w:rPr>
        <w:t>（</w:t>
      </w:r>
      <w:r>
        <w:rPr>
          <w:rFonts w:hint="eastAsia" w:ascii="宋体" w:hAnsi="宋体" w:eastAsia="宋体" w:cs="宋体"/>
          <w:color w:val="auto"/>
          <w:highlight w:val="none"/>
          <w:shd w:val="clear" w:color="auto" w:fill="FFFFFF"/>
          <w:lang w:val="en-US" w:eastAsia="zh-CN"/>
        </w:rPr>
        <w:t>本项目不适用</w:t>
      </w:r>
      <w:r>
        <w:rPr>
          <w:rFonts w:hint="eastAsia" w:ascii="宋体" w:hAnsi="宋体" w:eastAsia="宋体" w:cs="宋体"/>
          <w:color w:val="auto"/>
          <w:highlight w:val="none"/>
          <w:shd w:val="clear" w:color="auto" w:fill="FFFFFF"/>
          <w:lang w:eastAsia="zh-CN"/>
        </w:rPr>
        <w:t>）</w:t>
      </w:r>
    </w:p>
    <w:p w14:paraId="77C19E20">
      <w:pPr>
        <w:keepNext w:val="0"/>
        <w:keepLines w:val="0"/>
        <w:pageBreakBefore w:val="0"/>
        <w:widowControl/>
        <w:shd w:val="clear" w:color="auto" w:fill="FFFFFF"/>
        <w:kinsoku/>
        <w:overflowPunct/>
        <w:topLinePunct w:val="0"/>
        <w:bidi w:val="0"/>
        <w:snapToGrid/>
        <w:spacing w:line="240" w:lineRule="auto"/>
        <w:ind w:firstLine="420"/>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shd w:val="clear" w:color="auto" w:fill="FFFFFF"/>
          <w:lang w:bidi="ar"/>
        </w:rPr>
        <w:t>10.1.3其他形式： 无。</w:t>
      </w:r>
    </w:p>
    <w:p w14:paraId="571CD98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10.2磋商保证金为响应文件的重要组成部分之一。磋商保证金用于保护本次磋商活动免受供应商的违约或失信行为而引起的风险。未按规定提交磋商保证金的，其响应文件将被否决。</w:t>
      </w:r>
    </w:p>
    <w:p w14:paraId="71B7BA8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10.3磋商保证金退还：</w:t>
      </w:r>
    </w:p>
    <w:p w14:paraId="3AC04FD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10.3.1采购人或者采购代理机构将在采购活动结束后及时退还供应商的保证金，但因供应商自身原因导致无法及时退还的除外（比如：采购人委托代理机构组织磋商采购，成交的供应商未向采购代理机构出具已签订合同证明材料，造成磋商保证金退还时间延误的结果，由成交的供应商自行承担和谅解等）。未成交人的保证金将在成交通知书发出后5个工作日内退还，成交人的保证金将在采购合同签订后5个工作日内退还。关于磋商保证金退还的其它要求见竞争性磋商须知前附表第5项。</w:t>
      </w:r>
    </w:p>
    <w:p w14:paraId="044BCE1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10.3.2质疑或投诉涉及的供应商，若其磋商保证金尚未退还，则待质疑或投诉处理完毕后，且没有发生法律法规或者磋商文件规定的不予退还磋商保证金情形，则由采购人或采购代理机构给予及时退还。</w:t>
      </w:r>
    </w:p>
    <w:p w14:paraId="517D3BE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10.4如果供应商发生以下任何一种情况时，其磋商保证金将被不予退还或通过保函进行索赔：</w:t>
      </w:r>
    </w:p>
    <w:p w14:paraId="311B32F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(1)供应商在提交响应文件截止时间后撤回响应文件的；</w:t>
      </w:r>
    </w:p>
    <w:p w14:paraId="401D8B7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(2)供应商在响应文件中提供虚假材料的；</w:t>
      </w:r>
    </w:p>
    <w:p w14:paraId="3282CDA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(3)除因不可抗力或磋商文件认可的情形以外，成交人不与采购人签订合同的；</w:t>
      </w:r>
    </w:p>
    <w:p w14:paraId="007774E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(4)供应商与采购人、其他供应商或者采购代理机构恶意串通的；</w:t>
      </w:r>
    </w:p>
    <w:p w14:paraId="3CB4FB1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(5)供应商在提交最后报价后要求退出磋商的；</w:t>
      </w:r>
    </w:p>
    <w:p w14:paraId="5FE38F6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(6)供应商假借以他人名义参加磋商或者以其他方式弄虚作假，骗取成交；</w:t>
      </w:r>
    </w:p>
    <w:p w14:paraId="1BE57C7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(7)国家法律法规以及磋商文件中规定的其他磋商保证金不予退还的情形。</w:t>
      </w:r>
    </w:p>
    <w:p w14:paraId="61A8FC3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上述不予退还磋商保证金的情况不能抵偿给采购人或采购代理机构造成损失的，供应商还要承担赔偿责任。</w:t>
      </w:r>
    </w:p>
    <w:p w14:paraId="47FE36AD">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11.响应文件基本编制要求：</w:t>
      </w:r>
    </w:p>
    <w:p w14:paraId="22790BF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11.1供应商须编制由本须知规定组成的响应文件正副本份数详见竞争性磋商须知前附表第6项。响应文件正本和全部副本均应使用不能擦去的墨料或墨水打印、书写或复印，副本可以用正本的完整复印件。响应文件封面上应标明“正本”、“副本”字样。正本与副本内容如有不一致，则以正本为准。</w:t>
      </w:r>
    </w:p>
    <w:p w14:paraId="71A8BE8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11.2响应文件应由供应商代表签字并加盖公章。供应商代表如果不是竞争性磋商须知中定义的“单位负责人”，则其响应文件中还必须提供“单位负责人授权书”。</w:t>
      </w:r>
    </w:p>
    <w:p w14:paraId="41DCAB6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11.3响应文件应尽量避免涂改、行间插字或删除。如果出现上述情况，改动之处应加盖供应商单位公章或由供应商代表签字确认。</w:t>
      </w:r>
    </w:p>
    <w:p w14:paraId="75551D5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11.4供应商应提交证明其拟提供货物、服务或工程符合磋商文件要求的技术和商务响应文件，该文件可以是文字资料、图纸和数据，并对拟提供的货物、服务或工程的主要内容进行详细描述。</w:t>
      </w:r>
    </w:p>
    <w:p w14:paraId="0DDBAE34">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12.纸质响应文件的密封、标识、签署和提交（除磋商文件相应章节已有规定之外，电子竞争性磋商活动的具体操作流程以福建省政府采购网上公开信息系统设定的为准。）</w:t>
      </w:r>
    </w:p>
    <w:p w14:paraId="7E99656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12.1供应商应当将响应文件密封包装提交，并在外封套上标识项目名称、项目编号、供应商单位名称以及“于之前（指首次响应文件递交截止日期及时间）不准启封响应文件”的字样；采用邮寄方式提交响应文件的，其外包装上也必须按前文要求做好标识内容和字样，且供应商还应当主动向采购人或采购代理机构确认邮件收递情况。由于供应商未按照要求对其提交的响应文件进行密封、标识、邮寄确认等，由此可能产生的后果（包括拒收、误放、遗漏或提前拆封等情形），将由供应商自行承担相应结果，采购人或采购代理机构不承担责任。</w:t>
      </w:r>
    </w:p>
    <w:p w14:paraId="6FEA9DD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12.2供应商应当在磋商文件规定的提交响应文件截止时间前，将首次响应文件密封送达磋商文件规定的指定地点。在截止时间后送达的首次响应文件为无效文件，采购人、采购代理机构或者磋商小组将不予接收。</w:t>
      </w:r>
    </w:p>
    <w:p w14:paraId="01134DC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12.3供应商在首次响应文件递交截止时间前，可以对其所提交的响应文件进行补充、修改或者撤回，并书面通知采购人、采购代理机构或磋商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竞争性磋商须知中定义的“单位负责人”，则还必须提供“单位负责人授权书”），或者加盖供应商单位公章方可生效，否则采购人、采购代理机构或磋商小组将视为无效补充、修改或者撤回。采购人、采购代理机构或磋商小组不接受供应商口头、电话、传真或电子邮件形式提交的补充、修改或者撤回。</w:t>
      </w:r>
    </w:p>
    <w:p w14:paraId="08B458E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12.4供应商在磋商过程中根据磋商小组要求，提交的有关澄清、说明、补充、更正响应文件以及最后报价响应文件等资料，均应由供应商代表签署（供应商代表如果不是竞争性磋商须知中定义的“单位负责人”，则还必须提供“单位负责人授权书”），或者加盖供应商单位公章。</w:t>
      </w:r>
    </w:p>
    <w:p w14:paraId="5E8BE95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12.5除《政府采购竞争性磋商采购方式管理暂行办法》等相关法律法规及财政部门颁布的规范性文件允许的两家供应商进行竞争性磋商采购情形外，首次响应文件递交截止时间后，提交响应文件的供应商不足三家的，本次竞争性磋商活动终止，除采购任务取消情形外，采购人将依法重新组织采购或者采取其他方式采购。</w:t>
      </w:r>
    </w:p>
    <w:p w14:paraId="5D7B7C6D">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四、竞争性磋商</w:t>
      </w:r>
    </w:p>
    <w:p w14:paraId="77735931">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13.评审和磋商基本准则</w:t>
      </w:r>
    </w:p>
    <w:p w14:paraId="6E05FEF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13.1对所有供应商的评审和磋商，都采用相同的程序和标准。</w:t>
      </w:r>
    </w:p>
    <w:p w14:paraId="1509ABC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13.2磋商及评审过程将严格按照磋商文件的要求和条件进行，磋商小组将根据供应商的响应文件，按磋商文件规定的磋商程序及评审的标准和方法进行评审、磋商，并推荐成交候选人。</w:t>
      </w:r>
    </w:p>
    <w:p w14:paraId="3D4027A0">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14.磋商程序以及评审标准和方法</w:t>
      </w:r>
    </w:p>
    <w:p w14:paraId="73F6F5D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14.1采购人将根据项目的特点依法组建磋商小组。磋商小组将根据磋商文件规定的程序、评审标准和方法等内容对供应商进行评审、磋商。</w:t>
      </w:r>
    </w:p>
    <w:p w14:paraId="6D5A9C3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14.2在进入磋商阶段之前，磋商小组将对供应商提交的首次响应文件中资格证明文件以及其他响应文件是否对磋商文件的要求作出实质性响应进行审查。如果供应商资格审查和实质性响应审查不合格，则其响应文件将被磋商小组否决，按无效处理，不进入磋商阶段，磋商小组将告知有关供应商。</w:t>
      </w:r>
    </w:p>
    <w:p w14:paraId="2F15A7E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14.2.1供应商有下列情况之一者，其提交的响应文件将被视为未实质性响应磋商文件要求，磋商小组将否决其响应文件，按无效处理：</w:t>
      </w:r>
    </w:p>
    <w:p w14:paraId="458A902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采购包1：</w:t>
      </w:r>
    </w:p>
    <w:tbl>
      <w:tblPr>
        <w:tblStyle w:val="1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915"/>
        <w:gridCol w:w="1754"/>
        <w:gridCol w:w="7209"/>
      </w:tblGrid>
      <w:tr w14:paraId="452311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915"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1ACC45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序号</w:t>
            </w:r>
          </w:p>
        </w:tc>
        <w:tc>
          <w:tcPr>
            <w:tcW w:w="1754"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0285A6E">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符合审查要求概况</w:t>
            </w:r>
          </w:p>
        </w:tc>
        <w:tc>
          <w:tcPr>
            <w:tcW w:w="7209"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03EC802">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评审点具体描述</w:t>
            </w:r>
          </w:p>
        </w:tc>
      </w:tr>
      <w:tr w14:paraId="4BF9CA1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FE99D76">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4D9E3A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情形1</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E84BDF7">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响应文件中提供的资格证明文件不全的；</w:t>
            </w:r>
          </w:p>
        </w:tc>
      </w:tr>
      <w:tr w14:paraId="6383F71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7157DD1">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E85110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情形2</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293B861">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响应文件未按磋商文件规定由供应商代表签字，或未按磋商文件规定加盖供应商单位公章的；或供应商代表未获得有效授权的；</w:t>
            </w:r>
          </w:p>
        </w:tc>
      </w:tr>
      <w:tr w14:paraId="5225C41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DF59F7A">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AC1AA03">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情形3</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4CD10DA">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供应商未按磋商文件规定提交磋商保证金的；</w:t>
            </w:r>
          </w:p>
        </w:tc>
      </w:tr>
      <w:tr w14:paraId="4FE075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260E984">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0482D0C">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情形4</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3090CD7">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响应文件有效期不满足磋商文件要求的；</w:t>
            </w:r>
          </w:p>
        </w:tc>
      </w:tr>
      <w:tr w14:paraId="2CA471D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70E71B2">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F4885FC">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情形5</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90B3FDA">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响应内容与磋商采购内容及要求有重大偏离或保留的，限制了采购人的权利或者减少成交人合同项下的义务；（由于磋商项目本身特点，不能详细列明采购标的的技术、服务要求的除外）；</w:t>
            </w:r>
          </w:p>
        </w:tc>
      </w:tr>
      <w:tr w14:paraId="65CF69E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B13D05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C275D8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情形6</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2EDE7D9">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响应文件中附有采购人无法接受的条件的；</w:t>
            </w:r>
          </w:p>
        </w:tc>
      </w:tr>
      <w:tr w14:paraId="3F8BE40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CB15FFE">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7</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AEEEBBD">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情形7</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8C470DC">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不符合磋商文件中规定的其它实质性条款（比如：报价超过了磋商文件规定的最高限价）。</w:t>
            </w:r>
          </w:p>
        </w:tc>
      </w:tr>
    </w:tbl>
    <w:p w14:paraId="41DD24C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14.2.2其他情形</w:t>
      </w:r>
    </w:p>
    <w:p w14:paraId="64F20E4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采购包1：</w:t>
      </w:r>
    </w:p>
    <w:p w14:paraId="034DDE3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技术符合性</w:t>
      </w:r>
    </w:p>
    <w:tbl>
      <w:tblPr>
        <w:tblStyle w:val="1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76"/>
        <w:gridCol w:w="7902"/>
      </w:tblGrid>
      <w:tr w14:paraId="790700A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DBBC8AF">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2CBEE5D">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明细</w:t>
            </w:r>
          </w:p>
        </w:tc>
      </w:tr>
      <w:tr w14:paraId="0171DE1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09F674D">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其他情形</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AB3CA66">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响应文件属于磋商文件规定磋商小组应否决其投标的情形；</w:t>
            </w:r>
          </w:p>
        </w:tc>
      </w:tr>
      <w:tr w14:paraId="216660D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F9D198A">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其他情形</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7F5FE5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不符合磋商文件中规定的实质性要求和条件的；</w:t>
            </w:r>
          </w:p>
        </w:tc>
      </w:tr>
    </w:tbl>
    <w:p w14:paraId="5968BD7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商务符合性</w:t>
      </w:r>
    </w:p>
    <w:tbl>
      <w:tblPr>
        <w:tblStyle w:val="1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76"/>
        <w:gridCol w:w="7902"/>
      </w:tblGrid>
      <w:tr w14:paraId="02325D5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0B3BF19">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240C6E08">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明细</w:t>
            </w:r>
          </w:p>
        </w:tc>
      </w:tr>
      <w:tr w14:paraId="3F536C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8F94689">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其他情形</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AF7E5F0">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磋商文件第三章“三、商务条件”中内容属于实质性要求，出现负偏离的，按无效处理。</w:t>
            </w:r>
          </w:p>
        </w:tc>
      </w:tr>
    </w:tbl>
    <w:p w14:paraId="30BE787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附加符合性：无</w:t>
      </w:r>
    </w:p>
    <w:p w14:paraId="3E3B3D9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shd w:val="clear" w:color="auto" w:fill="FFFFFF"/>
        </w:rPr>
      </w:pPr>
      <w:r>
        <w:rPr>
          <w:rFonts w:hint="eastAsia" w:ascii="宋体" w:hAnsi="宋体" w:eastAsia="宋体" w:cs="宋体"/>
          <w:color w:val="auto"/>
          <w:highlight w:val="none"/>
          <w:shd w:val="clear" w:color="auto" w:fill="FFFFFF"/>
        </w:rPr>
        <w:t>价格符合性：无</w:t>
      </w:r>
    </w:p>
    <w:tbl>
      <w:tblPr>
        <w:tblStyle w:val="1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87"/>
        <w:gridCol w:w="7835"/>
      </w:tblGrid>
      <w:tr w14:paraId="6033FF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87" w:type="dxa"/>
            <w:vAlign w:val="center"/>
          </w:tcPr>
          <w:p w14:paraId="0225F55F">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highlight w:val="none"/>
                <w:lang w:bidi="ar"/>
              </w:rPr>
              <w:t>情形</w:t>
            </w:r>
          </w:p>
        </w:tc>
        <w:tc>
          <w:tcPr>
            <w:tcW w:w="7835" w:type="dxa"/>
            <w:vAlign w:val="center"/>
          </w:tcPr>
          <w:p w14:paraId="4AF637C8">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highlight w:val="none"/>
                <w:lang w:bidi="ar"/>
              </w:rPr>
              <w:t>明细</w:t>
            </w:r>
          </w:p>
        </w:tc>
      </w:tr>
      <w:tr w14:paraId="471F61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87" w:type="dxa"/>
            <w:vAlign w:val="center"/>
          </w:tcPr>
          <w:p w14:paraId="3B947AED">
            <w:pPr>
              <w:keepNext w:val="0"/>
              <w:keepLines w:val="0"/>
              <w:pageBreakBefore w:val="0"/>
              <w:widowControl w:val="0"/>
              <w:kinsoku/>
              <w:wordWrap/>
              <w:overflowPunct/>
              <w:topLinePunct w:val="0"/>
              <w:autoSpaceDE/>
              <w:autoSpaceDN/>
              <w:bidi w:val="0"/>
              <w:adjustRightInd/>
              <w:snapToGrid/>
              <w:spacing w:line="264"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highlight w:val="none"/>
                <w:lang w:bidi="ar"/>
              </w:rPr>
              <w:t>其他情形</w:t>
            </w:r>
          </w:p>
        </w:tc>
        <w:tc>
          <w:tcPr>
            <w:tcW w:w="7835" w:type="dxa"/>
          </w:tcPr>
          <w:p w14:paraId="04B089D9">
            <w:pPr>
              <w:pStyle w:val="24"/>
              <w:keepNext w:val="0"/>
              <w:keepLines w:val="0"/>
              <w:pageBreakBefore w:val="0"/>
              <w:widowControl w:val="0"/>
              <w:kinsoku/>
              <w:wordWrap/>
              <w:overflowPunct/>
              <w:topLinePunct w:val="0"/>
              <w:autoSpaceDE/>
              <w:autoSpaceDN/>
              <w:bidi w:val="0"/>
              <w:adjustRightInd/>
              <w:snapToGrid/>
              <w:spacing w:line="264"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rPr>
              <w:t>根据《财政部关于推动解决政府采购异常低价问题的通知》（财库〔2026〕2号），结合本项目（采购包）实际情况，政府采购评审中出现下列情形之一的，评审委员会应当启动异常低价投标（响应）审查程序： （1）</w:t>
            </w:r>
            <w:r>
              <w:rPr>
                <w:rFonts w:hint="eastAsia" w:ascii="宋体" w:hAnsi="宋体" w:eastAsia="宋体" w:cs="宋体"/>
                <w:sz w:val="24"/>
                <w:szCs w:val="24"/>
                <w:lang w:eastAsia="zh-CN"/>
              </w:rPr>
              <w:t>采购包1</w:t>
            </w:r>
            <w:r>
              <w:rPr>
                <w:rFonts w:hint="eastAsia" w:ascii="宋体" w:hAnsi="宋体" w:eastAsia="宋体" w:cs="宋体"/>
                <w:sz w:val="24"/>
                <w:szCs w:val="24"/>
              </w:rPr>
              <w:t>响应报价低于全部通过符合性审查供应商响应报价平均值50%的，即</w:t>
            </w:r>
            <w:r>
              <w:rPr>
                <w:rFonts w:hint="eastAsia" w:ascii="宋体" w:hAnsi="宋体" w:eastAsia="宋体" w:cs="宋体"/>
                <w:sz w:val="24"/>
                <w:szCs w:val="24"/>
                <w:lang w:eastAsia="zh-CN"/>
              </w:rPr>
              <w:t>采购包1</w:t>
            </w:r>
            <w:r>
              <w:rPr>
                <w:rFonts w:hint="eastAsia" w:ascii="宋体" w:hAnsi="宋体" w:eastAsia="宋体" w:cs="宋体"/>
                <w:sz w:val="24"/>
                <w:szCs w:val="24"/>
              </w:rPr>
              <w:t>响应报价&lt;全部通过符合性审查供应商响应报价平均值×50%。 （2）</w:t>
            </w:r>
            <w:r>
              <w:rPr>
                <w:rFonts w:hint="eastAsia" w:ascii="宋体" w:hAnsi="宋体" w:eastAsia="宋体" w:cs="宋体"/>
                <w:sz w:val="24"/>
                <w:szCs w:val="24"/>
                <w:lang w:eastAsia="zh-CN"/>
              </w:rPr>
              <w:t>采购包1</w:t>
            </w:r>
            <w:r>
              <w:rPr>
                <w:rFonts w:hint="eastAsia" w:ascii="宋体" w:hAnsi="宋体" w:eastAsia="宋体" w:cs="宋体"/>
                <w:sz w:val="24"/>
                <w:szCs w:val="24"/>
              </w:rPr>
              <w:t>响应报价低于通过符合性审查次低报价供应商响应报价50%的，即</w:t>
            </w:r>
            <w:r>
              <w:rPr>
                <w:rFonts w:hint="eastAsia" w:ascii="宋体" w:hAnsi="宋体" w:eastAsia="宋体" w:cs="宋体"/>
                <w:sz w:val="24"/>
                <w:szCs w:val="24"/>
                <w:lang w:eastAsia="zh-CN"/>
              </w:rPr>
              <w:t>采购包1</w:t>
            </w:r>
            <w:r>
              <w:rPr>
                <w:rFonts w:hint="eastAsia" w:ascii="宋体" w:hAnsi="宋体" w:eastAsia="宋体" w:cs="宋体"/>
                <w:sz w:val="24"/>
                <w:szCs w:val="24"/>
              </w:rPr>
              <w:t>响应报价&lt;通过符合性审查次低报价供应商响应报价×50%。 （3）</w:t>
            </w:r>
            <w:r>
              <w:rPr>
                <w:rFonts w:hint="eastAsia" w:ascii="宋体" w:hAnsi="宋体" w:eastAsia="宋体" w:cs="宋体"/>
                <w:sz w:val="24"/>
                <w:szCs w:val="24"/>
                <w:lang w:eastAsia="zh-CN"/>
              </w:rPr>
              <w:t>采购包1</w:t>
            </w:r>
            <w:r>
              <w:rPr>
                <w:rFonts w:hint="eastAsia" w:ascii="宋体" w:hAnsi="宋体" w:eastAsia="宋体" w:cs="宋体"/>
                <w:sz w:val="24"/>
                <w:szCs w:val="24"/>
              </w:rPr>
              <w:t>响应报价低于最高限价45%的，即</w:t>
            </w:r>
            <w:r>
              <w:rPr>
                <w:rFonts w:hint="eastAsia" w:ascii="宋体" w:hAnsi="宋体" w:eastAsia="宋体" w:cs="宋体"/>
                <w:sz w:val="24"/>
                <w:szCs w:val="24"/>
                <w:lang w:eastAsia="zh-CN"/>
              </w:rPr>
              <w:t>采购包1</w:t>
            </w:r>
            <w:r>
              <w:rPr>
                <w:rFonts w:hint="eastAsia" w:ascii="宋体" w:hAnsi="宋体" w:eastAsia="宋体" w:cs="宋体"/>
                <w:sz w:val="24"/>
                <w:szCs w:val="24"/>
              </w:rPr>
              <w:t>响应报价&lt;最高限价×45%。 （4）评审委员会基于专业判断，认为供应商报价过低，有可能影响产品质量或者不能诚信履约的其他情形。 评审委员会启动异常低价投标（响应）审查后，应当要求相关供应商在评审现场合理的时间内提供书面说明及必要的证明材料，对投标（响应）价格作出解释。</w:t>
            </w:r>
          </w:p>
        </w:tc>
      </w:tr>
      <w:tr w14:paraId="3EA31D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72" w:hRule="atLeast"/>
        </w:trPr>
        <w:tc>
          <w:tcPr>
            <w:tcW w:w="1987" w:type="dxa"/>
            <w:vAlign w:val="center"/>
          </w:tcPr>
          <w:p w14:paraId="1E97DA2B">
            <w:pPr>
              <w:keepNext w:val="0"/>
              <w:keepLines w:val="0"/>
              <w:pageBreakBefore w:val="0"/>
              <w:widowControl w:val="0"/>
              <w:kinsoku/>
              <w:wordWrap/>
              <w:overflowPunct/>
              <w:topLinePunct w:val="0"/>
              <w:autoSpaceDE/>
              <w:autoSpaceDN/>
              <w:bidi w:val="0"/>
              <w:adjustRightInd/>
              <w:snapToGrid/>
              <w:spacing w:line="264"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highlight w:val="none"/>
                <w:lang w:bidi="ar"/>
              </w:rPr>
              <w:t>其他情形</w:t>
            </w:r>
          </w:p>
        </w:tc>
        <w:tc>
          <w:tcPr>
            <w:tcW w:w="7835" w:type="dxa"/>
          </w:tcPr>
          <w:p w14:paraId="42D419BE">
            <w:pPr>
              <w:pStyle w:val="24"/>
              <w:keepNext w:val="0"/>
              <w:keepLines w:val="0"/>
              <w:pageBreakBefore w:val="0"/>
              <w:widowControl w:val="0"/>
              <w:kinsoku/>
              <w:wordWrap/>
              <w:overflowPunct/>
              <w:topLinePunct w:val="0"/>
              <w:autoSpaceDE/>
              <w:autoSpaceDN/>
              <w:bidi w:val="0"/>
              <w:adjustRightInd/>
              <w:snapToGrid/>
              <w:spacing w:line="264" w:lineRule="auto"/>
              <w:jc w:val="both"/>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rPr>
              <w:t>投标报价超出最高限价或预算金额或不符合</w:t>
            </w:r>
            <w:r>
              <w:rPr>
                <w:rFonts w:hint="eastAsia" w:ascii="宋体" w:hAnsi="宋体" w:eastAsia="宋体" w:cs="宋体"/>
                <w:color w:val="auto"/>
                <w:sz w:val="24"/>
                <w:szCs w:val="24"/>
                <w:highlight w:val="none"/>
                <w:lang w:val="en-US" w:eastAsia="zh-CN"/>
              </w:rPr>
              <w:t>询价通知书</w:t>
            </w:r>
            <w:r>
              <w:rPr>
                <w:rFonts w:hint="eastAsia" w:ascii="宋体" w:hAnsi="宋体" w:eastAsia="宋体" w:cs="宋体"/>
                <w:color w:val="auto"/>
                <w:sz w:val="24"/>
                <w:szCs w:val="24"/>
                <w:highlight w:val="none"/>
              </w:rPr>
              <w:t>报价要求的。</w:t>
            </w:r>
          </w:p>
        </w:tc>
      </w:tr>
    </w:tbl>
    <w:p w14:paraId="4A097F5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磋商小组决定供应商的响应性只根据响应文件本身的内容，而不寻求其他的外部证据。</w:t>
      </w:r>
    </w:p>
    <w:p w14:paraId="6E57496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14.3磋商小组在对供应商进行响应文件资格审查、实质响应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w:t>
      </w:r>
    </w:p>
    <w:p w14:paraId="602F574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14.4只有资格审查和实质性响应审查合格的供应商才能进入磋商阶段。磋商小组所有成员将集中与单一供应商分别进行磋商，并给予所有参加磋商的合格供应商平等的磋商机会。磋商过程中，磋商小组可以根据磋商文件和磋商情况实质性变动采购需求中的技术、服务要求以及合同草案条款，但不得变动竞争性磋商文件中的其他内容。实质性变动的内容，须经采购人代表确认。磋商过程中对磋商文件作出的实质性变动是磋商文件的有效组成部分，磋商小组将及时以书面形式同时通知所有参加磋商的供应商。根据采购项目的特点和需要，在磋商过程中可能发生实质性变动的内容详见竞争性磋商须知前附表第7项。</w:t>
      </w:r>
    </w:p>
    <w:p w14:paraId="2AA0E32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14.5合格供应商应当按照磋商文件的变动情况和磋商小组的要求提交补充响应文件（首次响应文件中已经提交过的如资格证明文件等资料，不用重新提供），并由供应商代表签字或加盖供应商单位公章。供应商代表如果不是竞争性磋商须知中定义的“单位负责人”，则还必须提供“单位负责人授权书”。供应商为自然人的，应当由本人签字并附身份证明。</w:t>
      </w:r>
    </w:p>
    <w:p w14:paraId="0836FE2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14.6磋商文件能够详细列明采购标的的技术、服务要求的，磋商结束后，磋商小组应当要求所有实质性响应的合格供应商在规定时间内提交最后报价。属于《政府采购竞争性磋商采购方式管理暂行办法》等相关法律法规及财政部门颁布的规范性文件允许的两家供应商进行竞争性磋商采购情形，则提交最后报价的供应商可以为2家。</w:t>
      </w:r>
    </w:p>
    <w:p w14:paraId="01972C6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14.7磋商文件不能详细列明采购标的的技术、服务要求，需经磋商由供应商提供最终设计方案或解决方案的，磋商结束后，磋商小组应当按照少数服从多数的原则投票推荐3家及以上供应商的设计方案或者解决方案，具体推荐数量和投票细则等内容按照“竞争性磋商须知前附表”中专项附件：“评审的标准和方法”的相关条款规定执行，并要求其在规定时间内提交最后报价。属于《政府采购竞争性磋商采购方式管理暂行办法》等相关法律法规及财政部门颁布的规范性文件允许的两家供应商进行竞争性磋商采购情形，则提交最后报价的供应商可以为2家。</w:t>
      </w:r>
    </w:p>
    <w:p w14:paraId="1FFD662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14.8最后报价是供应商响应文件的有效组成部分。如果供应商的最后报价明显低于其他最后报价，使得其最后报价有可能影响商品或服务质量或者不能诚信履约的，供应商应当按照磋商小组要求，在规定时间内作出书面说明，必要时提交相关证明材料；供应商不能合理说明其报价合理性的，磋商小组可以做无效响应文件和无效报价处理。</w:t>
      </w:r>
    </w:p>
    <w:p w14:paraId="279850A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14.9磋商小组将采用综合评分法对提交最后报价的供应商的响应文件和最后报价进行综合评分，具体评审的标准和方法详见竞争性磋商须知前附表第8项。磋商小组根据综合评分情况，按照评审得分由高到低顺序推荐3名及以上成交候选供应商，并编写评审报告。属于《政府采购竞争性磋商采购方式管理暂行办法》等相关法律法规及财政部门颁布的规范性文件允许的两家供应商进行竞争性磋商采购情形，则可以按照评审得分由高到低顺序推荐2名成交候选供应商。如果成交候选供应商出现并列相同的评审得分，则相应处理方式按照“竞争性磋商须知前附表”中专项附件：“评审的标准和方法”的相关条款规定执行。</w:t>
      </w:r>
    </w:p>
    <w:p w14:paraId="2ADAF33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14.10供应商提交的响应文件和资料将给予保密，但不退回（有关证件或证照的原件除外）。</w:t>
      </w:r>
    </w:p>
    <w:p w14:paraId="078728A3">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五、合同授予</w:t>
      </w:r>
    </w:p>
    <w:p w14:paraId="7B9606C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 </w:t>
      </w:r>
    </w:p>
    <w:p w14:paraId="192EB8A3">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15.授予合同的准则：</w:t>
      </w:r>
    </w:p>
    <w:p w14:paraId="6794556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15.1除不可抗力等因素外，合同将授予响应文件符合竞争性磋商文件要求，能够圆满地履行合同，且被磋商小组推荐为第一成交候选人的供应商。</w:t>
      </w:r>
    </w:p>
    <w:p w14:paraId="75FBCD2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15.2政府采购合同履行中，采购人需追加与合同标的相同的货物、工程或者服务的，在不改变合同其他条款的前提下，可以与成交人协商签订补充合同，但所有补充合同的采购金额不得超过原合同采购金额的百分之十。</w:t>
      </w:r>
    </w:p>
    <w:p w14:paraId="1BAD7A5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15.3为维护国家利益和社会公共利益，最低报价不是被授予合同的绝对保证。</w:t>
      </w:r>
    </w:p>
    <w:p w14:paraId="1B660799">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16.确定成交供应商：</w:t>
      </w:r>
    </w:p>
    <w:p w14:paraId="0B071F2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16.1采购人委托代理机构组织竞争性磋商采购活动的，采购代理机构在评审结束后2个工作日内将评审报告送采购人确认。</w:t>
      </w:r>
    </w:p>
    <w:p w14:paraId="0AAC618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16.2采购人在收到评审报告后5个工作日内，从评审报告提出的成交候选人中，按照综合评分得分排序由高到低的原则确定成交人，也可以书面授权磋商小组直接确定成交人。采购人逾期未确定成交人且不提出异议的，视为确定评审报告提出的排序第一的供应商为成交人。</w:t>
      </w:r>
    </w:p>
    <w:p w14:paraId="238C55CE">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17.成交通知:</w:t>
      </w:r>
    </w:p>
    <w:p w14:paraId="69A44C30">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17.1采购人或者采购代理机构在成交人确定后2个工作日内，在省级以上财政部门指定的媒体上公告成交结果，同时向成交人发出成交通知书。采用书面推荐供应商参加采购活动的，还将公告采购人和评审专家的推荐意见。</w:t>
      </w:r>
    </w:p>
    <w:p w14:paraId="1D9D483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17.2成交通知书对采购人和成交人具有同等法律效力。除不可抗力因素或政策原因外，成交通知书发出后，采购人改变成交结果，或者成交人拒绝签订政府采购合同的，均应当承担相应的法律责任。未成交人对成交结果公告如果有异议的，应当自成交结果公告刊登之日起7个工作日内，以书面形式向采购人或采购代理机构提出质疑，有关质疑、投诉的相关规定和要求，按照《中华人民共和国政府采购法》、《中华人民共和国政府采购法实施条例》、有关财政部规章等法律文件规定执行。</w:t>
      </w:r>
    </w:p>
    <w:p w14:paraId="79425AA0">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18.签订合同：</w:t>
      </w:r>
    </w:p>
    <w:p w14:paraId="517FB720">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18.1采购人与成交人应当（详见须知前附表1中的18.1）按照采购文件确定的合同文本以及采购标的、规格型号、采购金额、采购数量、技术和服务要求等事项签订政府采购合同。根据项目的特点和需要，采购人如果对签订合同的时间期限、地点有特别要求的，可以在成交通知书中进一步明确，成交人应当按照成交通知书的规定和要求，及时与采购人签订合同。</w:t>
      </w:r>
    </w:p>
    <w:p w14:paraId="58DBCF6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18.2竞争性磋商文件、成交人的响应文件及其有关澄清承诺文件等，均为签订政府采购合同的依据和组成部分。</w:t>
      </w:r>
    </w:p>
    <w:p w14:paraId="5F22A62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18.3采购人不得向成交人提出超出竞争性磋商文件以外的任何要求作为签订合同的条件，不得与成交人订立背离竞争性磋商文件确定的合同文本以及采购标的、规格型号、采购金额、采购数量、技术和服务要求等实质性内容的协议。</w:t>
      </w:r>
    </w:p>
    <w:p w14:paraId="520A8ADC">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六、询问、质疑与投诉</w:t>
      </w:r>
    </w:p>
    <w:p w14:paraId="2EB4647F">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19.询问</w:t>
      </w:r>
    </w:p>
    <w:p w14:paraId="1A3ABC9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19.1潜在供应商或供应商对本次采购活动的有关事项若有疑问，可向采购人或采购代理机构提出询问，采购人或采购代理机构将按照政府采购法及实施条例的有关规定进行答复。</w:t>
      </w:r>
    </w:p>
    <w:p w14:paraId="21E79A93">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20.质疑</w:t>
      </w:r>
    </w:p>
    <w:p w14:paraId="72501B3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20.1质疑应在政府采购法及实施条例规定的时效内提出，并符合下列条件：</w:t>
      </w:r>
    </w:p>
    <w:p w14:paraId="3592D54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20.1.1对磋商文件提出质疑的，质疑人应为潜在供应商，且两者的身份、名称等均应保持一致。对采购过程、结果提出质疑的，质疑人应为供应商，且两者的身份、名称等均应保持一致。提出质疑的供应商应当是参与所质疑项目采购活动的供应商。</w:t>
      </w:r>
    </w:p>
    <w:p w14:paraId="00228D1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20.1.2质疑人应提交质疑函原件。</w:t>
      </w:r>
    </w:p>
    <w:p w14:paraId="726A80E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20.1.3质疑函应包括下列主要内容：</w:t>
      </w:r>
    </w:p>
    <w:p w14:paraId="7DDD3BD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①质疑人的基本信息，至少包括：全称、地址、邮政编码、联系人及联系电话等；适合自然人参加磋商的政府采购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14:paraId="5761DBE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②所质疑项目的基本信息，至少包括：项目编号、项目名称等；</w:t>
      </w:r>
    </w:p>
    <w:p w14:paraId="650F8EA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③所质疑的具体事项（以下简称：“质疑事项”）；</w:t>
      </w:r>
    </w:p>
    <w:p w14:paraId="2C0D849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④质疑人自身权益受到损害的事实依据和证明材料，至少包括：</w:t>
      </w:r>
    </w:p>
    <w:p w14:paraId="2A37315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a1所质疑的具体事项事实存在的证明材料；</w:t>
      </w:r>
    </w:p>
    <w:p w14:paraId="433134A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a2所质疑的具体事项事实导致质疑人自身权益受到损害的证明材料，如：采购文件、采购过程或成交结果违法违规，损害自已合法权益等证明材料；</w:t>
      </w:r>
    </w:p>
    <w:p w14:paraId="0E089080">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p>
    <w:p w14:paraId="040213A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⑤针对质疑事项提出的明确请求和法律依据，</w:t>
      </w:r>
    </w:p>
    <w:p w14:paraId="489DB77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前述明确请求指质疑人提出质疑的目的、希望采购人或采购代理机构对其质疑作出的处理结果，如：暂停采购活动、修改磋商文件、停止或纠正违法违规行为、成交结果无效、废标、重新采购等，质疑人提出质疑请求还应当对相应的法律依据进行说明。</w:t>
      </w:r>
    </w:p>
    <w:p w14:paraId="73E908C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⑥提出质疑的日期以及质疑人代表联系方式，至少包括：姓名、手机、电子信箱、邮寄地址等。</w:t>
      </w:r>
    </w:p>
    <w:p w14:paraId="22D32AA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20.2对不符合前文第20.1条规定的质疑，采购人或采购代理机构将按照下列规定进行处理：</w:t>
      </w:r>
    </w:p>
    <w:p w14:paraId="09830CB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20.2.1超过质疑时效提交的或者质疑人不是参与所质疑项目采购活动的供应商，书面告知质疑人其质疑不成立的原因和理由。</w:t>
      </w:r>
    </w:p>
    <w:p w14:paraId="324A304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20.2.2质疑函内容不符合规定的，告知质疑人修改、补充后在政府采购法及实施条例规定的时效内重新提交质疑函原件。质疑人拒不修改或补充的，则采购人或采购代理机构应当在质疑答复期内书面告知对方质疑不成立的原因和理由。</w:t>
      </w:r>
    </w:p>
    <w:p w14:paraId="6B98D1A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20.2.3质疑人修改、补充质疑函超过质疑时效提交的按20.2.1款处理。供应商提交质疑函时，要认真阅读本章第20条关于质疑的相关规定，以免内容或资料不齐，需要修改补充而延误时间。</w:t>
      </w:r>
    </w:p>
    <w:p w14:paraId="19D169D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20.3对符合前文第20.1条规定的质疑，采购人或采购代理机构将按照政府采购法及实施条例的有关规定进行答复。</w:t>
      </w:r>
    </w:p>
    <w:p w14:paraId="271C08F2">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21.投诉</w:t>
      </w:r>
    </w:p>
    <w:p w14:paraId="1A03715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21.1若对质疑答复不满意或质疑答复未在答复期限内作出，质疑人可在答复期限届满之日起15个工作日内向磋商文件中载明的监督管理部门投诉。</w:t>
      </w:r>
    </w:p>
    <w:p w14:paraId="241A54D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21.2投诉应有明确的请求和必要的证明材料，投诉的事项不得超出已质疑事项的范围。</w:t>
      </w:r>
    </w:p>
    <w:p w14:paraId="2774F87F">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七、有关信息公告和监督部门</w:t>
      </w:r>
    </w:p>
    <w:p w14:paraId="1E6BA510">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22.政府采购信息公告媒体</w:t>
      </w:r>
    </w:p>
    <w:p w14:paraId="545C92A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22.1本项目的有关信息，包括但不限于采购公告、更正公告（若有）、磋商文件、磋商文件的澄清或修改（若有）、成交公告、终止公告（若有）、废标公告（若有）等都将在磋商文件载明的指定媒体发布。潜在供应商或供应商务必随时关注，以免遗漏。</w:t>
      </w:r>
    </w:p>
    <w:p w14:paraId="3CFD6F3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22.2信息公告指定媒体：详见竞争性磋商须知前附表第10项。</w:t>
      </w:r>
    </w:p>
    <w:p w14:paraId="0ECAF8F6">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23.监督管理部门</w:t>
      </w:r>
    </w:p>
    <w:p w14:paraId="7595B4D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23.1磋商采购活动的监督管理部门详见竞争性磋商须知前附表第11项。</w:t>
      </w:r>
    </w:p>
    <w:p w14:paraId="5A25AFA7">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八、政府采购政策</w:t>
      </w:r>
    </w:p>
    <w:p w14:paraId="2C9626F4">
      <w:pPr>
        <w:pStyle w:val="24"/>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24、政府采购政策由财政部根据国家的经济和社会发展政策并会同国家有关部委制定，包括但不限于下列管理办法或措施：</w:t>
      </w:r>
    </w:p>
    <w:p w14:paraId="729D778A">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24.1本国产品与非本国产品相关约定</w:t>
      </w:r>
    </w:p>
    <w:p w14:paraId="2B3E86DD">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24.1.1本国产品</w:t>
      </w:r>
    </w:p>
    <w:p w14:paraId="657D4C18">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03057EE1">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C6EFC6A">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（3）对本国产品的支持政策 政府采购活动中既有本国产品又有非本国产品参与竞争的，依法对本国产品给予价格评审优惠，对本国产品的报价给予20%的价格扣除，用扣除后的价格参与评审。</w:t>
      </w:r>
    </w:p>
    <w:p w14:paraId="794C246D">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ABD43C2">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24.1.2 非本国产品</w:t>
      </w:r>
    </w:p>
    <w:p w14:paraId="25A02EB4">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24.1.2.1 进口产品：指通过中国海关报关验放进入中国境内且产自关境外的产品，其中：</w:t>
      </w:r>
    </w:p>
    <w:p w14:paraId="4079DE17">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2A76E514">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（2）凡在海关特殊监管区域内企业生产或加工（包括从境外进口料件）销往境内其他地区的产品，不作为政府采购项下进口产品。</w:t>
      </w:r>
    </w:p>
    <w:p w14:paraId="73D9604E">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（3）对从境外进入海关特殊监管区域，再经办理报关手续后从海关特殊监管区进入境内其他地区的产品，认定为进口产品。</w:t>
      </w:r>
    </w:p>
    <w:p w14:paraId="76E543B6">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（4）磋商文件列明不允许或未列明允许进口产品参加报价的，均视为拒绝进口产品参加报价。</w:t>
      </w:r>
    </w:p>
    <w:p w14:paraId="7B483A94">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24.1.2.2 其它非本国产品：指非进口产品且不符合本国产品标准的产品。</w:t>
      </w:r>
    </w:p>
    <w:p w14:paraId="43847024">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7B2E9D41">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1A12F85E">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（1）中小企业指符合下列条件的中型、小型、微型企业：</w:t>
      </w:r>
    </w:p>
    <w:p w14:paraId="1841A48A">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6A4C271C">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②符合中小企业划分标准的个体工商户，在政府采购活动中视同中小企业。</w:t>
      </w:r>
    </w:p>
    <w:p w14:paraId="72AF7239">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（2）在政府采购活动中，供应商提供的货物、工程或者服务符合下列情形的，享受本办法规定的中小企业扶持政策：</w:t>
      </w:r>
    </w:p>
    <w:p w14:paraId="1270FC91">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①在货物采购项目中，货物由中小企业制造，即货物由中小企业生产且使用该中小企业商号或者注册商标；</w:t>
      </w:r>
    </w:p>
    <w:p w14:paraId="1DF45CA9">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②在工程采购项目中，工程由中小企业承建，即工程施工单位为中小企业；</w:t>
      </w:r>
    </w:p>
    <w:p w14:paraId="308B20DB">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③在服务采购项目中，服务由中小企业承接，即提供服务的人员为中小企业依照《中华人民共和国劳动合同法》 订立劳动合同的从业人员。</w:t>
      </w:r>
    </w:p>
    <w:p w14:paraId="43DEC13B">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在货物采购项目中，供应商提供的货物既有中小企业制造货物，也有大型企业制造货物的，不享受本办法规定的中小企业扶持政策。</w:t>
      </w:r>
    </w:p>
    <w:p w14:paraId="266B1247">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以联合体形式参加政府采购活动，联合体各方均为中小企业的，联合体视同中小企业。其中，联合体各方均为小微企业的，联合体视同小微企业。</w:t>
      </w:r>
    </w:p>
    <w:p w14:paraId="7A1121AE">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（3）供应商应当按照磋商文件明确的采购标的对应行业的划分标准出具中小企业声明函。</w:t>
      </w:r>
    </w:p>
    <w:p w14:paraId="2B8B6B36">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55AA7A09">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18A2D33A">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①监狱企业参加采购活动时，应提供由省级以上监狱管理局、戒毒管理局（含新疆生产建设兵团）出具的属于监狱企业的证明文件。</w:t>
      </w:r>
    </w:p>
    <w:p w14:paraId="34BC1608">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②监狱企业视同小型、微型企业。</w:t>
      </w:r>
    </w:p>
    <w:p w14:paraId="1DFD0054">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（5）残疾人福利性单位指同时符合下列条件的单位：</w:t>
      </w:r>
    </w:p>
    <w:p w14:paraId="7D98E098">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①安置的残疾人占本单位在职职工人数的比例不低于25%（含25%），并且安置的残疾人人数不少于10人（含10人）；</w:t>
      </w:r>
    </w:p>
    <w:p w14:paraId="5336174A">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②依法与安置的每位残疾人签订了一年以上（含一年）的劳动合同或服务协议；</w:t>
      </w:r>
    </w:p>
    <w:p w14:paraId="1900F964">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③为安置的每位残疾人按月足额缴纳了基本养老保险、基本医疗保险、失业保险、工伤保险和生育保险等社会保险费；</w:t>
      </w:r>
    </w:p>
    <w:p w14:paraId="04C9E977">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④通过银行等金融机构向安置的每位残疾人，按月支付了不低于单位所在区县适用的经省级人民政府批准的月最低工资标准的工资；</w:t>
      </w:r>
    </w:p>
    <w:p w14:paraId="15D5EAFB">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⑤提供本单位制造的货物、承担的工程或服务，或提供其他残疾人福利性单位制造的货物（不包括使用非残疾人福利性单位注册商标的货物）。</w:t>
      </w:r>
    </w:p>
    <w:p w14:paraId="7E6514E7">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7C7AF0B7">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7EC703E8">
      <w:pPr>
        <w:pStyle w:val="24"/>
        <w:ind w:firstLine="48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sz w:val="24"/>
          <w:szCs w:val="24"/>
        </w:rPr>
        <w:t>24.4信用记录指由财政部确定的有关网站提供的相关主体信用信息。信用记录的查询及使用应符合财政部文件（财库[2016]125号）规定</w:t>
      </w:r>
      <w:r>
        <w:rPr>
          <w:rFonts w:hint="eastAsia" w:asciiTheme="majorEastAsia" w:hAnsiTheme="majorEastAsia" w:eastAsiaTheme="majorEastAsia" w:cstheme="majorEastAsia"/>
          <w:color w:val="auto"/>
          <w:sz w:val="24"/>
          <w:szCs w:val="24"/>
          <w:highlight w:val="none"/>
          <w:shd w:val="clear" w:color="auto" w:fill="FFFFFF"/>
        </w:rPr>
        <w:t>。</w:t>
      </w:r>
    </w:p>
    <w:p w14:paraId="6462697B">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九、根据采购项目特点或政策需要补充的其他内容</w:t>
      </w:r>
    </w:p>
    <w:p w14:paraId="6E1364FC">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25.履约保证金</w:t>
      </w:r>
    </w:p>
    <w:p w14:paraId="60DA0C5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25.1采购人可以根据项目特点和需要，确定是否要求成交人在合同签订前，按照磋商文件规定的时间、形式、金额提交履约保证金，履约保证金的数额不超过中标合同金额的10%。</w:t>
      </w:r>
    </w:p>
    <w:p w14:paraId="5769D76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25.2磋商文件要求在合同签订前提交履约保证金，如果成交人无故拖延或者拒不提交履约保证金的，则视为成交人拒绝与采购人签订合同，该成交人将承担违法行为的法律责任。</w:t>
      </w:r>
    </w:p>
    <w:p w14:paraId="2AE89000">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26.其他新增内容：</w:t>
      </w:r>
    </w:p>
    <w:p w14:paraId="29F821E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26.1根据采购项目特点或政策需要补充的其他新增内容详见竞争性磋商须知前附表第12项。</w:t>
      </w:r>
    </w:p>
    <w:p w14:paraId="727C809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26.2本项目中如涉及商品包装和快递包装的，其包装需求标准应不低于《关于印发〈商品包装政府采购需求标准(试行)〉、〈快递包装政府采购需求标准(试行)〉的通知》（财办库〔2020〕123号）规定的包装要求，其他包装需求详见采购文件具体规定。采购人、成交人双方签订合同及验收环节，应包含上述包装要求的条款。</w:t>
      </w:r>
    </w:p>
    <w:p w14:paraId="736DD7C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 </w:t>
      </w:r>
    </w:p>
    <w:p w14:paraId="2481F075">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auto"/>
          <w:sz w:val="39"/>
          <w:szCs w:val="39"/>
          <w:highlight w:val="none"/>
          <w:shd w:val="clear" w:color="auto" w:fill="FFFFFF"/>
        </w:rPr>
      </w:pPr>
      <w:r>
        <w:rPr>
          <w:rFonts w:hint="eastAsia" w:ascii="宋体" w:hAnsi="宋体" w:eastAsia="宋体" w:cs="宋体"/>
          <w:b/>
          <w:bCs/>
          <w:color w:val="auto"/>
          <w:sz w:val="39"/>
          <w:szCs w:val="39"/>
          <w:highlight w:val="none"/>
          <w:shd w:val="clear" w:color="auto" w:fill="FFFFFF"/>
        </w:rPr>
        <w:br w:type="page"/>
      </w:r>
    </w:p>
    <w:p w14:paraId="636BE93E">
      <w:pPr>
        <w:pStyle w:val="3"/>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sz w:val="39"/>
          <w:szCs w:val="39"/>
          <w:highlight w:val="none"/>
        </w:rPr>
      </w:pPr>
      <w:bookmarkStart w:id="6" w:name="_Toc18287"/>
      <w:r>
        <w:rPr>
          <w:rFonts w:hint="eastAsia" w:ascii="宋体" w:hAnsi="宋体" w:eastAsia="宋体" w:cs="宋体"/>
          <w:color w:val="auto"/>
          <w:sz w:val="39"/>
          <w:szCs w:val="39"/>
          <w:highlight w:val="none"/>
          <w:shd w:val="clear" w:color="auto" w:fill="FFFFFF"/>
        </w:rPr>
        <w:t>第三章采购内容及要求</w:t>
      </w:r>
      <w:bookmarkEnd w:id="6"/>
    </w:p>
    <w:p w14:paraId="1A5BDFB9">
      <w:pPr>
        <w:pStyle w:val="4"/>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sz w:val="24"/>
          <w:highlight w:val="none"/>
        </w:rPr>
      </w:pPr>
      <w:r>
        <w:rPr>
          <w:rFonts w:hint="eastAsia" w:ascii="宋体" w:hAnsi="宋体" w:eastAsia="宋体" w:cs="宋体"/>
          <w:color w:val="auto"/>
          <w:highlight w:val="none"/>
          <w:shd w:val="clear" w:color="auto" w:fill="FFFFFF"/>
        </w:rPr>
        <w:t>一、（根据本项目实际情况，填写“采购标的”或“项目概况”）</w:t>
      </w:r>
    </w:p>
    <w:p w14:paraId="3284AB27">
      <w:pPr>
        <w:pStyle w:val="24"/>
        <w:spacing w:line="240" w:lineRule="auto"/>
        <w:ind w:firstLine="480"/>
        <w:jc w:val="both"/>
        <w:rPr>
          <w:rFonts w:ascii="Calibri" w:hAnsi="Calibri" w:eastAsia="宋体" w:cs="Times New Roman"/>
          <w:sz w:val="24"/>
          <w:szCs w:val="24"/>
        </w:rPr>
      </w:pPr>
      <w:r>
        <w:rPr>
          <w:rFonts w:hint="eastAsia" w:ascii="宋体" w:hAnsi="宋体" w:eastAsia="宋体" w:cs="宋体"/>
          <w:color w:val="auto"/>
          <w:sz w:val="24"/>
          <w:highlight w:val="none"/>
          <w:lang w:val="en-US" w:eastAsia="zh-CN"/>
        </w:rPr>
        <w:t>1、本项目是</w:t>
      </w:r>
      <w:r>
        <w:rPr>
          <w:rFonts w:hint="eastAsia" w:ascii="宋体" w:hAnsi="宋体" w:eastAsia="宋体" w:cs="宋体"/>
          <w:color w:val="auto"/>
          <w:sz w:val="24"/>
          <w:highlight w:val="none"/>
          <w:lang w:eastAsia="zh-CN"/>
        </w:rPr>
        <w:t>仙游县县域医共体消毒供应中心的双列货架等项目，</w:t>
      </w:r>
      <w:r>
        <w:rPr>
          <w:rFonts w:hint="eastAsia" w:ascii="宋体" w:hAnsi="宋体" w:eastAsia="宋体" w:cs="宋体"/>
          <w:sz w:val="24"/>
          <w:szCs w:val="24"/>
          <w:shd w:val="clear" w:fill="FFFFFF"/>
          <w:lang w:eastAsia="zh-CN"/>
        </w:rPr>
        <w:t>供应商</w:t>
      </w:r>
      <w:r>
        <w:rPr>
          <w:rFonts w:ascii="宋体" w:hAnsi="宋体" w:eastAsia="宋体" w:cs="宋体"/>
          <w:sz w:val="24"/>
          <w:szCs w:val="24"/>
          <w:shd w:val="clear" w:fill="FFFFFF"/>
        </w:rPr>
        <w:t>提供的所有货物必须通过合法渠道获得，具有在中国境内的合法使用权和用户保护权且为全新原装货物。技术参数必须符合或优于国家及行业相关标准。</w:t>
      </w:r>
    </w:p>
    <w:p w14:paraId="40264301">
      <w:pPr>
        <w:spacing w:line="240" w:lineRule="auto"/>
        <w:ind w:firstLine="480"/>
        <w:jc w:val="both"/>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2</w:t>
      </w:r>
      <w:r>
        <w:rPr>
          <w:rFonts w:hint="eastAsia" w:ascii="宋体" w:hAnsi="宋体" w:eastAsia="宋体" w:cs="宋体"/>
          <w:sz w:val="24"/>
          <w:szCs w:val="24"/>
          <w:lang w:val="en-US" w:eastAsia="zh-CN"/>
        </w:rPr>
        <w:t>、供应商</w:t>
      </w:r>
      <w:r>
        <w:rPr>
          <w:rFonts w:hint="eastAsia" w:ascii="宋体" w:hAnsi="宋体" w:eastAsia="宋体" w:cs="宋体"/>
          <w:sz w:val="24"/>
          <w:szCs w:val="24"/>
          <w:lang w:val="en-US" w:eastAsia="zh-Hans"/>
        </w:rPr>
        <w:t>须按采购包报价，对采购包所有品目号内容报价时必须完整。评标与授标以采购包为单位。</w:t>
      </w:r>
      <w:r>
        <w:rPr>
          <w:rFonts w:hint="eastAsia" w:ascii="宋体" w:hAnsi="宋体" w:eastAsia="宋体" w:cs="宋体"/>
          <w:sz w:val="24"/>
          <w:szCs w:val="24"/>
          <w:lang w:val="en-US" w:eastAsia="zh-CN"/>
        </w:rPr>
        <w:t>供应商</w:t>
      </w:r>
      <w:r>
        <w:rPr>
          <w:rFonts w:hint="eastAsia" w:ascii="宋体" w:hAnsi="宋体" w:eastAsia="宋体" w:cs="宋体"/>
          <w:sz w:val="24"/>
          <w:szCs w:val="24"/>
          <w:lang w:val="en-US" w:eastAsia="zh-Hans"/>
        </w:rPr>
        <w:t>的报价应包括设备所涉及的有关项目费用进行报价，包括但不限于：货物的</w:t>
      </w:r>
      <w:r>
        <w:rPr>
          <w:rFonts w:hint="eastAsia" w:ascii="宋体" w:hAnsi="宋体" w:eastAsia="宋体" w:cs="宋体"/>
          <w:sz w:val="24"/>
          <w:szCs w:val="24"/>
          <w:lang w:val="en-US" w:eastAsia="zh-CN"/>
        </w:rPr>
        <w:t>主体</w:t>
      </w:r>
      <w:r>
        <w:rPr>
          <w:rFonts w:hint="eastAsia" w:ascii="宋体" w:hAnsi="宋体" w:eastAsia="宋体" w:cs="宋体"/>
          <w:sz w:val="24"/>
          <w:szCs w:val="24"/>
          <w:lang w:val="en-US" w:eastAsia="zh-Hans"/>
        </w:rPr>
        <w:t>、附件、零备件等部分，劳务、运输、装卸、管理、安装、调试、维护、</w:t>
      </w:r>
      <w:r>
        <w:rPr>
          <w:rFonts w:hint="eastAsia" w:ascii="宋体" w:hAnsi="宋体" w:eastAsia="宋体" w:cs="宋体"/>
          <w:sz w:val="24"/>
          <w:szCs w:val="24"/>
          <w:lang w:val="en-US" w:eastAsia="zh-CN"/>
        </w:rPr>
        <w:t>验收、</w:t>
      </w:r>
      <w:r>
        <w:rPr>
          <w:rFonts w:hint="eastAsia" w:ascii="宋体" w:hAnsi="宋体" w:eastAsia="宋体" w:cs="宋体"/>
          <w:sz w:val="24"/>
          <w:szCs w:val="24"/>
          <w:lang w:val="en-US" w:eastAsia="zh-Hans"/>
        </w:rPr>
        <w:t>垃圾清运、保险、税费等，以及所有根据合同或其它原因应由</w:t>
      </w:r>
      <w:r>
        <w:rPr>
          <w:rFonts w:hint="eastAsia" w:ascii="宋体" w:hAnsi="宋体" w:eastAsia="宋体" w:cs="宋体"/>
          <w:sz w:val="24"/>
          <w:szCs w:val="24"/>
          <w:lang w:val="en-US" w:eastAsia="zh-CN"/>
        </w:rPr>
        <w:t>供应商</w:t>
      </w:r>
      <w:r>
        <w:rPr>
          <w:rFonts w:hint="eastAsia" w:ascii="宋体" w:hAnsi="宋体" w:eastAsia="宋体" w:cs="宋体"/>
          <w:sz w:val="24"/>
          <w:szCs w:val="24"/>
          <w:lang w:val="en-US" w:eastAsia="zh-Hans"/>
        </w:rPr>
        <w:t>支付的税金和其它应缴的费用，</w:t>
      </w:r>
      <w:r>
        <w:rPr>
          <w:rFonts w:hint="eastAsia" w:ascii="宋体" w:hAnsi="宋体" w:eastAsia="宋体" w:cs="宋体"/>
          <w:sz w:val="24"/>
          <w:szCs w:val="24"/>
          <w:lang w:val="en-US" w:eastAsia="zh-CN"/>
        </w:rPr>
        <w:t>供应商</w:t>
      </w:r>
      <w:r>
        <w:rPr>
          <w:rFonts w:hint="eastAsia" w:ascii="宋体" w:hAnsi="宋体" w:eastAsia="宋体" w:cs="宋体"/>
          <w:sz w:val="24"/>
          <w:szCs w:val="24"/>
          <w:lang w:val="en-US" w:eastAsia="zh-Hans"/>
        </w:rPr>
        <w:t>须合理推断责任和义务。</w:t>
      </w:r>
    </w:p>
    <w:p w14:paraId="56CAD4D4">
      <w:pPr>
        <w:pStyle w:val="24"/>
        <w:ind w:firstLine="420" w:firstLineChars="0"/>
        <w:jc w:val="left"/>
        <w:rPr>
          <w:rFonts w:hint="eastAsia" w:ascii="宋体" w:hAnsi="宋体" w:eastAsia="宋体" w:cs="宋体"/>
          <w:sz w:val="24"/>
          <w:szCs w:val="24"/>
          <w:lang w:val="en-US" w:eastAsia="zh-CN"/>
        </w:rPr>
      </w:pPr>
      <w:r>
        <w:rPr>
          <w:rFonts w:hint="eastAsia" w:ascii="宋体" w:hAnsi="宋体" w:eastAsia="宋体" w:cs="宋体"/>
          <w:b w:val="0"/>
          <w:bCs/>
          <w:color w:val="auto"/>
          <w:sz w:val="24"/>
          <w:lang w:val="en-US" w:eastAsia="zh-CN"/>
        </w:rPr>
        <w:t>3、核心产品：本章第二大点技术要求中</w:t>
      </w:r>
      <w:r>
        <w:rPr>
          <w:rFonts w:hint="eastAsia" w:ascii="宋体" w:hAnsi="宋体" w:eastAsia="宋体" w:cs="宋体"/>
          <w:b w:val="0"/>
          <w:bCs/>
          <w:color w:val="FF0000"/>
          <w:sz w:val="24"/>
          <w:lang w:val="en-US" w:eastAsia="zh-CN"/>
        </w:rPr>
        <w:t>带◆号“器械打包台”为核心产品</w:t>
      </w:r>
      <w:r>
        <w:rPr>
          <w:rFonts w:hint="eastAsia" w:ascii="宋体" w:hAnsi="宋体" w:eastAsia="宋体" w:cs="宋体"/>
          <w:b w:val="0"/>
          <w:bCs/>
          <w:color w:val="auto"/>
          <w:sz w:val="24"/>
          <w:lang w:val="en-US" w:eastAsia="zh-CN"/>
        </w:rPr>
        <w:t>，同一合同包中不同供应商对任意核心产品所投产品品牌相同的，视为提供相同品牌产品。</w:t>
      </w:r>
    </w:p>
    <w:p w14:paraId="4826D327">
      <w:pPr>
        <w:pStyle w:val="4"/>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shd w:val="clear" w:color="auto" w:fill="FFFFFF"/>
        </w:rPr>
      </w:pPr>
      <w:r>
        <w:rPr>
          <w:rFonts w:hint="eastAsia" w:ascii="宋体" w:hAnsi="宋体" w:eastAsia="宋体" w:cs="宋体"/>
          <w:color w:val="auto"/>
          <w:highlight w:val="none"/>
          <w:shd w:val="clear" w:color="auto" w:fill="FFFFFF"/>
        </w:rPr>
        <w:t>二、技术要求</w:t>
      </w:r>
    </w:p>
    <w:tbl>
      <w:tblPr>
        <w:tblStyle w:val="20"/>
        <w:tblW w:w="106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833"/>
        <w:gridCol w:w="5397"/>
        <w:gridCol w:w="735"/>
        <w:gridCol w:w="1044"/>
        <w:gridCol w:w="735"/>
        <w:gridCol w:w="1442"/>
      </w:tblGrid>
      <w:tr w14:paraId="6FFB2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7" w:type="dxa"/>
            <w:vAlign w:val="center"/>
          </w:tcPr>
          <w:p w14:paraId="4005AC84">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color w:val="auto"/>
                <w:sz w:val="24"/>
                <w:szCs w:val="24"/>
                <w:highlight w:val="none"/>
                <w:lang w:val="en-US" w:eastAsia="zh-CN"/>
              </w:rPr>
            </w:pPr>
            <w:r>
              <w:rPr>
                <w:rFonts w:hint="eastAsia" w:asciiTheme="majorEastAsia" w:hAnsiTheme="majorEastAsia" w:eastAsiaTheme="majorEastAsia" w:cstheme="majorEastAsia"/>
                <w:b/>
                <w:bCs/>
                <w:color w:val="auto"/>
                <w:sz w:val="24"/>
                <w:szCs w:val="24"/>
                <w:highlight w:val="none"/>
                <w:lang w:val="en-US" w:eastAsia="zh-CN"/>
              </w:rPr>
              <w:t>序号</w:t>
            </w:r>
          </w:p>
        </w:tc>
        <w:tc>
          <w:tcPr>
            <w:tcW w:w="833" w:type="dxa"/>
            <w:vAlign w:val="center"/>
          </w:tcPr>
          <w:p w14:paraId="093B0BC6">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default" w:asciiTheme="majorEastAsia" w:hAnsiTheme="majorEastAsia" w:eastAsiaTheme="majorEastAsia" w:cstheme="majorEastAsia"/>
                <w:b/>
                <w:bCs/>
                <w:color w:val="auto"/>
                <w:sz w:val="24"/>
                <w:szCs w:val="24"/>
                <w:highlight w:val="none"/>
                <w:lang w:val="en-US" w:eastAsia="zh-CN"/>
              </w:rPr>
            </w:pPr>
            <w:r>
              <w:rPr>
                <w:rFonts w:hint="eastAsia" w:asciiTheme="majorEastAsia" w:hAnsiTheme="majorEastAsia" w:eastAsiaTheme="majorEastAsia" w:cstheme="majorEastAsia"/>
                <w:b/>
                <w:bCs/>
                <w:color w:val="auto"/>
                <w:sz w:val="24"/>
                <w:szCs w:val="24"/>
                <w:highlight w:val="none"/>
                <w:lang w:val="en-US" w:eastAsia="zh-CN"/>
              </w:rPr>
              <w:t>设备用途</w:t>
            </w:r>
          </w:p>
        </w:tc>
        <w:tc>
          <w:tcPr>
            <w:tcW w:w="5397" w:type="dxa"/>
            <w:vAlign w:val="center"/>
          </w:tcPr>
          <w:p w14:paraId="3576AA37">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b/>
                <w:bCs/>
                <w:color w:val="auto"/>
                <w:sz w:val="24"/>
                <w:szCs w:val="24"/>
                <w:highlight w:val="none"/>
              </w:rPr>
              <w:t>基本配置要求(单台)</w:t>
            </w:r>
          </w:p>
        </w:tc>
        <w:tc>
          <w:tcPr>
            <w:tcW w:w="735" w:type="dxa"/>
            <w:vAlign w:val="center"/>
          </w:tcPr>
          <w:p w14:paraId="6D8E9BA0">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color w:val="auto"/>
                <w:sz w:val="24"/>
                <w:szCs w:val="24"/>
                <w:highlight w:val="none"/>
                <w:lang w:eastAsia="zh-CN"/>
              </w:rPr>
            </w:pPr>
            <w:r>
              <w:rPr>
                <w:rFonts w:hint="eastAsia" w:asciiTheme="majorEastAsia" w:hAnsiTheme="majorEastAsia" w:eastAsiaTheme="majorEastAsia" w:cstheme="majorEastAsia"/>
                <w:b/>
                <w:bCs/>
                <w:color w:val="auto"/>
                <w:sz w:val="24"/>
                <w:szCs w:val="24"/>
                <w:highlight w:val="none"/>
                <w:lang w:val="en-US" w:eastAsia="zh-CN"/>
              </w:rPr>
              <w:t>单位</w:t>
            </w:r>
          </w:p>
        </w:tc>
        <w:tc>
          <w:tcPr>
            <w:tcW w:w="1044" w:type="dxa"/>
            <w:vAlign w:val="center"/>
          </w:tcPr>
          <w:p w14:paraId="33AC7608">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color w:val="auto"/>
                <w:sz w:val="24"/>
                <w:szCs w:val="24"/>
                <w:highlight w:val="none"/>
                <w:lang w:eastAsia="zh-CN"/>
              </w:rPr>
            </w:pPr>
            <w:r>
              <w:rPr>
                <w:rFonts w:hint="eastAsia" w:asciiTheme="majorEastAsia" w:hAnsiTheme="majorEastAsia" w:eastAsiaTheme="majorEastAsia" w:cstheme="majorEastAsia"/>
                <w:b/>
                <w:bCs/>
                <w:color w:val="auto"/>
                <w:sz w:val="24"/>
                <w:szCs w:val="24"/>
                <w:highlight w:val="none"/>
                <w:lang w:val="en-US" w:eastAsia="zh-CN"/>
              </w:rPr>
              <w:t>数量</w:t>
            </w:r>
          </w:p>
        </w:tc>
        <w:tc>
          <w:tcPr>
            <w:tcW w:w="735" w:type="dxa"/>
            <w:vAlign w:val="center"/>
          </w:tcPr>
          <w:p w14:paraId="34651F5E">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default" w:asciiTheme="majorEastAsia" w:hAnsiTheme="majorEastAsia" w:eastAsiaTheme="majorEastAsia" w:cstheme="majorEastAsia"/>
                <w:b/>
                <w:bCs/>
                <w:color w:val="auto"/>
                <w:sz w:val="24"/>
                <w:szCs w:val="24"/>
                <w:highlight w:val="none"/>
                <w:lang w:val="en-US" w:eastAsia="zh-CN"/>
              </w:rPr>
            </w:pPr>
            <w:r>
              <w:rPr>
                <w:rFonts w:hint="eastAsia" w:asciiTheme="majorEastAsia" w:hAnsiTheme="majorEastAsia" w:eastAsiaTheme="majorEastAsia" w:cstheme="majorEastAsia"/>
                <w:b/>
                <w:bCs/>
                <w:color w:val="auto"/>
                <w:sz w:val="24"/>
                <w:szCs w:val="24"/>
                <w:highlight w:val="none"/>
                <w:lang w:val="en-US" w:eastAsia="zh-CN"/>
              </w:rPr>
              <w:t>用途描述</w:t>
            </w:r>
          </w:p>
        </w:tc>
        <w:tc>
          <w:tcPr>
            <w:tcW w:w="1442" w:type="dxa"/>
            <w:vAlign w:val="center"/>
          </w:tcPr>
          <w:p w14:paraId="0CD16035">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default" w:asciiTheme="majorEastAsia" w:hAnsiTheme="majorEastAsia" w:eastAsiaTheme="majorEastAsia" w:cstheme="majorEastAsia"/>
                <w:b/>
                <w:bCs/>
                <w:color w:val="auto"/>
                <w:sz w:val="24"/>
                <w:szCs w:val="24"/>
                <w:highlight w:val="none"/>
                <w:lang w:val="en-US" w:eastAsia="zh-CN"/>
              </w:rPr>
            </w:pPr>
            <w:r>
              <w:rPr>
                <w:rFonts w:hint="eastAsia" w:asciiTheme="majorEastAsia" w:hAnsiTheme="majorEastAsia" w:eastAsiaTheme="majorEastAsia" w:cstheme="majorEastAsia"/>
                <w:b/>
                <w:bCs/>
                <w:color w:val="auto"/>
                <w:sz w:val="24"/>
                <w:szCs w:val="24"/>
                <w:highlight w:val="none"/>
                <w:lang w:val="en-US" w:eastAsia="zh-CN"/>
              </w:rPr>
              <w:t>参考图片</w:t>
            </w:r>
          </w:p>
        </w:tc>
      </w:tr>
      <w:tr w14:paraId="20E3E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0" w:hRule="atLeast"/>
        </w:trPr>
        <w:tc>
          <w:tcPr>
            <w:tcW w:w="447" w:type="dxa"/>
            <w:vAlign w:val="center"/>
          </w:tcPr>
          <w:p w14:paraId="119A8B33">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1</w:t>
            </w:r>
          </w:p>
        </w:tc>
        <w:tc>
          <w:tcPr>
            <w:tcW w:w="833" w:type="dxa"/>
            <w:vAlign w:val="center"/>
          </w:tcPr>
          <w:p w14:paraId="093ED923">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b/>
                <w:bCs/>
                <w:color w:val="000000"/>
                <w:kern w:val="0"/>
                <w:sz w:val="24"/>
                <w:szCs w:val="24"/>
                <w:lang w:bidi="ar"/>
              </w:rPr>
              <w:t>双列货架</w:t>
            </w:r>
          </w:p>
        </w:tc>
        <w:tc>
          <w:tcPr>
            <w:tcW w:w="5397" w:type="dxa"/>
            <w:vAlign w:val="center"/>
          </w:tcPr>
          <w:p w14:paraId="67C10A4F">
            <w:pPr>
              <w:numPr>
                <w:ilvl w:val="0"/>
                <w:numId w:val="0"/>
              </w:numPr>
              <w:rPr>
                <w:rFonts w:hint="eastAsia" w:asciiTheme="majorEastAsia" w:hAnsiTheme="majorEastAsia" w:eastAsiaTheme="majorEastAsia" w:cstheme="majorEastAsia"/>
                <w:sz w:val="22"/>
                <w:szCs w:val="22"/>
                <w:lang w:eastAsia="zh-CN"/>
              </w:rPr>
            </w:pPr>
            <w:r>
              <w:rPr>
                <w:rFonts w:hint="eastAsia" w:asciiTheme="majorEastAsia" w:hAnsiTheme="majorEastAsia" w:eastAsiaTheme="majorEastAsia" w:cstheme="majorEastAsia"/>
                <w:kern w:val="2"/>
                <w:sz w:val="24"/>
                <w:szCs w:val="24"/>
                <w:lang w:val="en-US" w:eastAsia="zh-CN" w:bidi="ar-SA"/>
              </w:rPr>
              <w:t>1、</w:t>
            </w:r>
            <w:r>
              <w:rPr>
                <w:rFonts w:hint="eastAsia" w:asciiTheme="majorEastAsia" w:hAnsiTheme="majorEastAsia" w:eastAsiaTheme="majorEastAsia" w:cstheme="majorEastAsia"/>
                <w:sz w:val="24"/>
                <w:szCs w:val="24"/>
                <w:lang w:eastAsia="zh-CN"/>
              </w:rPr>
              <w:t>货架尺寸</w:t>
            </w:r>
            <w:r>
              <w:rPr>
                <w:rFonts w:hint="eastAsia" w:ascii="宋体" w:hAnsi="宋体" w:eastAsia="宋体" w:cs="宋体"/>
                <w:i w:val="0"/>
                <w:iCs w:val="0"/>
                <w:color w:val="000000"/>
                <w:kern w:val="0"/>
                <w:sz w:val="24"/>
                <w:szCs w:val="24"/>
                <w:u w:val="none"/>
                <w:lang w:val="en-US" w:eastAsia="zh-CN" w:bidi="ar"/>
              </w:rPr>
              <w:t>（L*W*H)2190*785*1748mm</w:t>
            </w:r>
            <w:r>
              <w:rPr>
                <w:rFonts w:hint="eastAsia" w:asciiTheme="majorEastAsia" w:hAnsiTheme="majorEastAsia" w:eastAsiaTheme="majorEastAsia" w:cstheme="majorEastAsia"/>
                <w:sz w:val="24"/>
                <w:szCs w:val="24"/>
                <w:lang w:eastAsia="zh-CN"/>
              </w:rPr>
              <w:t>（四角可调节高度，脚距地面20cm。）</w:t>
            </w: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lang w:val="en-US" w:eastAsia="zh-CN"/>
              </w:rPr>
              <w:t>评审项1</w:t>
            </w:r>
            <w:r>
              <w:rPr>
                <w:rFonts w:hint="eastAsia" w:asciiTheme="majorEastAsia" w:hAnsiTheme="majorEastAsia" w:eastAsiaTheme="majorEastAsia" w:cstheme="majorEastAsia"/>
                <w:sz w:val="22"/>
                <w:szCs w:val="22"/>
                <w:lang w:eastAsia="zh-CN"/>
              </w:rPr>
              <w:t>】</w:t>
            </w:r>
          </w:p>
          <w:p w14:paraId="4C02CB0E">
            <w:pPr>
              <w:numPr>
                <w:ilvl w:val="0"/>
                <w:numId w:val="0"/>
              </w:numPr>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kern w:val="2"/>
                <w:sz w:val="24"/>
                <w:szCs w:val="24"/>
                <w:lang w:val="en-US" w:eastAsia="zh-CN" w:bidi="ar-SA"/>
              </w:rPr>
              <w:t>2、</w:t>
            </w:r>
            <w:r>
              <w:rPr>
                <w:rFonts w:hint="eastAsia" w:asciiTheme="majorEastAsia" w:hAnsiTheme="majorEastAsia" w:eastAsiaTheme="majorEastAsia" w:cstheme="majorEastAsia"/>
                <w:sz w:val="24"/>
                <w:szCs w:val="24"/>
                <w:lang w:eastAsia="zh-CN"/>
              </w:rPr>
              <w:t>可放置≥40个篮筐，本项目配置供货40个篮筐</w:t>
            </w: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lang w:val="en-US" w:eastAsia="zh-CN"/>
              </w:rPr>
              <w:t>评审项2</w:t>
            </w:r>
            <w:r>
              <w:rPr>
                <w:rFonts w:hint="eastAsia" w:asciiTheme="majorEastAsia" w:hAnsiTheme="majorEastAsia" w:eastAsiaTheme="majorEastAsia" w:cstheme="majorEastAsia"/>
                <w:sz w:val="22"/>
                <w:szCs w:val="22"/>
                <w:lang w:eastAsia="zh-CN"/>
              </w:rPr>
              <w:t>】</w:t>
            </w:r>
          </w:p>
          <w:p w14:paraId="6EFC502D">
            <w:pPr>
              <w:numPr>
                <w:ilvl w:val="0"/>
                <w:numId w:val="0"/>
              </w:numPr>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 xml:space="preserve">3、篮筐尺寸（L*W*H)535*380*195mm </w:t>
            </w: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lang w:val="en-US" w:eastAsia="zh-CN"/>
              </w:rPr>
              <w:t>评审项3</w:t>
            </w:r>
            <w:r>
              <w:rPr>
                <w:rFonts w:hint="eastAsia" w:asciiTheme="majorEastAsia" w:hAnsiTheme="majorEastAsia" w:eastAsiaTheme="majorEastAsia" w:cstheme="majorEastAsia"/>
                <w:sz w:val="22"/>
                <w:szCs w:val="22"/>
                <w:lang w:eastAsia="zh-CN"/>
              </w:rPr>
              <w:t>】</w:t>
            </w:r>
          </w:p>
        </w:tc>
        <w:tc>
          <w:tcPr>
            <w:tcW w:w="735" w:type="dxa"/>
            <w:vAlign w:val="center"/>
          </w:tcPr>
          <w:p w14:paraId="22558909">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个</w:t>
            </w:r>
          </w:p>
        </w:tc>
        <w:tc>
          <w:tcPr>
            <w:tcW w:w="1044" w:type="dxa"/>
            <w:vAlign w:val="center"/>
          </w:tcPr>
          <w:p w14:paraId="0E03CE2D">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6</w:t>
            </w:r>
          </w:p>
        </w:tc>
        <w:tc>
          <w:tcPr>
            <w:tcW w:w="735" w:type="dxa"/>
            <w:vMerge w:val="restart"/>
            <w:vAlign w:val="center"/>
          </w:tcPr>
          <w:p w14:paraId="1C5A904B">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用于灭菌物品的储存</w:t>
            </w:r>
          </w:p>
        </w:tc>
        <w:tc>
          <w:tcPr>
            <w:tcW w:w="1442" w:type="dxa"/>
            <w:vAlign w:val="center"/>
          </w:tcPr>
          <w:p w14:paraId="79582553">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i w:val="0"/>
                <w:iCs w:val="0"/>
                <w:color w:val="000000"/>
                <w:kern w:val="0"/>
                <w:sz w:val="24"/>
                <w:szCs w:val="24"/>
                <w:u w:val="none"/>
                <w:bdr w:val="single" w:color="000000" w:sz="4" w:space="0"/>
                <w:lang w:val="en-US" w:eastAsia="zh-CN" w:bidi="ar"/>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68480" behindDoc="0" locked="0" layoutInCell="1" allowOverlap="1">
                  <wp:simplePos x="0" y="0"/>
                  <wp:positionH relativeFrom="column">
                    <wp:posOffset>-43815</wp:posOffset>
                  </wp:positionH>
                  <wp:positionV relativeFrom="paragraph">
                    <wp:posOffset>150495</wp:posOffset>
                  </wp:positionV>
                  <wp:extent cx="857885" cy="1207135"/>
                  <wp:effectExtent l="0" t="0" r="18415" b="12065"/>
                  <wp:wrapNone/>
                  <wp:docPr id="10" name="图片 10"/>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6"/>
                          <a:stretch>
                            <a:fillRect/>
                          </a:stretch>
                        </pic:blipFill>
                        <pic:spPr>
                          <a:xfrm>
                            <a:off x="0" y="0"/>
                            <a:ext cx="857885" cy="120713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62336" behindDoc="0" locked="0" layoutInCell="1" allowOverlap="1">
                  <wp:simplePos x="0" y="0"/>
                  <wp:positionH relativeFrom="column">
                    <wp:posOffset>5709920</wp:posOffset>
                  </wp:positionH>
                  <wp:positionV relativeFrom="paragraph">
                    <wp:posOffset>2174875</wp:posOffset>
                  </wp:positionV>
                  <wp:extent cx="1282065" cy="1504950"/>
                  <wp:effectExtent l="0" t="0" r="13335" b="0"/>
                  <wp:wrapNone/>
                  <wp:docPr id="18" name="图片 11"/>
                  <wp:cNvGraphicFramePr/>
                  <a:graphic xmlns:a="http://schemas.openxmlformats.org/drawingml/2006/main">
                    <a:graphicData uri="http://schemas.openxmlformats.org/drawingml/2006/picture">
                      <pic:pic xmlns:pic="http://schemas.openxmlformats.org/drawingml/2006/picture">
                        <pic:nvPicPr>
                          <pic:cNvPr id="18" name="图片 11"/>
                          <pic:cNvPicPr/>
                        </pic:nvPicPr>
                        <pic:blipFill>
                          <a:blip r:embed="rId6"/>
                          <a:stretch>
                            <a:fillRect/>
                          </a:stretch>
                        </pic:blipFill>
                        <pic:spPr>
                          <a:xfrm>
                            <a:off x="0" y="0"/>
                            <a:ext cx="1282065" cy="1504950"/>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61312" behindDoc="0" locked="0" layoutInCell="1" allowOverlap="1">
                  <wp:simplePos x="0" y="0"/>
                  <wp:positionH relativeFrom="column">
                    <wp:posOffset>5854065</wp:posOffset>
                  </wp:positionH>
                  <wp:positionV relativeFrom="paragraph">
                    <wp:posOffset>2251075</wp:posOffset>
                  </wp:positionV>
                  <wp:extent cx="1282065" cy="1504950"/>
                  <wp:effectExtent l="0" t="0" r="13335" b="0"/>
                  <wp:wrapNone/>
                  <wp:docPr id="11" name="图片 12"/>
                  <wp:cNvGraphicFramePr/>
                  <a:graphic xmlns:a="http://schemas.openxmlformats.org/drawingml/2006/main">
                    <a:graphicData uri="http://schemas.openxmlformats.org/drawingml/2006/picture">
                      <pic:pic xmlns:pic="http://schemas.openxmlformats.org/drawingml/2006/picture">
                        <pic:nvPicPr>
                          <pic:cNvPr id="11" name="图片 12"/>
                          <pic:cNvPicPr/>
                        </pic:nvPicPr>
                        <pic:blipFill>
                          <a:blip r:embed="rId6"/>
                          <a:stretch>
                            <a:fillRect/>
                          </a:stretch>
                        </pic:blipFill>
                        <pic:spPr>
                          <a:xfrm>
                            <a:off x="0" y="0"/>
                            <a:ext cx="1282065" cy="1504950"/>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5701665</wp:posOffset>
                  </wp:positionH>
                  <wp:positionV relativeFrom="paragraph">
                    <wp:posOffset>2098675</wp:posOffset>
                  </wp:positionV>
                  <wp:extent cx="1282065" cy="1504950"/>
                  <wp:effectExtent l="0" t="0" r="13335" b="0"/>
                  <wp:wrapNone/>
                  <wp:docPr id="19" name="图片_3"/>
                  <wp:cNvGraphicFramePr/>
                  <a:graphic xmlns:a="http://schemas.openxmlformats.org/drawingml/2006/main">
                    <a:graphicData uri="http://schemas.openxmlformats.org/drawingml/2006/picture">
                      <pic:pic xmlns:pic="http://schemas.openxmlformats.org/drawingml/2006/picture">
                        <pic:nvPicPr>
                          <pic:cNvPr id="19" name="图片_3"/>
                          <pic:cNvPicPr/>
                        </pic:nvPicPr>
                        <pic:blipFill>
                          <a:blip r:embed="rId6"/>
                          <a:stretch>
                            <a:fillRect/>
                          </a:stretch>
                        </pic:blipFill>
                        <pic:spPr>
                          <a:xfrm>
                            <a:off x="0" y="0"/>
                            <a:ext cx="1282065" cy="1504950"/>
                          </a:xfrm>
                          <a:prstGeom prst="rect">
                            <a:avLst/>
                          </a:prstGeom>
                          <a:noFill/>
                          <a:ln>
                            <a:noFill/>
                          </a:ln>
                        </pic:spPr>
                      </pic:pic>
                    </a:graphicData>
                  </a:graphic>
                </wp:anchor>
              </w:drawing>
            </w:r>
          </w:p>
          <w:p w14:paraId="6EC2C134">
            <w:pPr>
              <w:bidi w:val="0"/>
              <w:rPr>
                <w:rFonts w:hint="eastAsia" w:asciiTheme="minorHAnsi" w:hAnsiTheme="minorHAnsi" w:eastAsiaTheme="minorEastAsia" w:cstheme="minorBidi"/>
                <w:kern w:val="2"/>
                <w:sz w:val="21"/>
                <w:szCs w:val="24"/>
                <w:lang w:val="en-US" w:eastAsia="zh-CN" w:bidi="ar-SA"/>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64384" behindDoc="0" locked="0" layoutInCell="1" allowOverlap="1">
                  <wp:simplePos x="0" y="0"/>
                  <wp:positionH relativeFrom="column">
                    <wp:posOffset>5709920</wp:posOffset>
                  </wp:positionH>
                  <wp:positionV relativeFrom="paragraph">
                    <wp:posOffset>2174875</wp:posOffset>
                  </wp:positionV>
                  <wp:extent cx="1282065" cy="1504950"/>
                  <wp:effectExtent l="0" t="0" r="13335" b="0"/>
                  <wp:wrapNone/>
                  <wp:docPr id="16" name="图片 14"/>
                  <wp:cNvGraphicFramePr/>
                  <a:graphic xmlns:a="http://schemas.openxmlformats.org/drawingml/2006/main">
                    <a:graphicData uri="http://schemas.openxmlformats.org/drawingml/2006/picture">
                      <pic:pic xmlns:pic="http://schemas.openxmlformats.org/drawingml/2006/picture">
                        <pic:nvPicPr>
                          <pic:cNvPr id="16" name="图片 14"/>
                          <pic:cNvPicPr/>
                        </pic:nvPicPr>
                        <pic:blipFill>
                          <a:blip r:embed="rId6"/>
                          <a:stretch>
                            <a:fillRect/>
                          </a:stretch>
                        </pic:blipFill>
                        <pic:spPr>
                          <a:xfrm>
                            <a:off x="0" y="0"/>
                            <a:ext cx="1282065" cy="1504950"/>
                          </a:xfrm>
                          <a:prstGeom prst="rect">
                            <a:avLst/>
                          </a:prstGeom>
                          <a:noFill/>
                          <a:ln>
                            <a:noFill/>
                          </a:ln>
                        </pic:spPr>
                      </pic:pic>
                    </a:graphicData>
                  </a:graphic>
                </wp:anchor>
              </w:drawing>
            </w:r>
          </w:p>
          <w:p w14:paraId="31637209">
            <w:pPr>
              <w:bidi w:val="0"/>
              <w:rPr>
                <w:rFonts w:hint="eastAsia"/>
                <w:lang w:val="en-US" w:eastAsia="zh-CN"/>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66432" behindDoc="0" locked="0" layoutInCell="1" allowOverlap="1">
                  <wp:simplePos x="0" y="0"/>
                  <wp:positionH relativeFrom="column">
                    <wp:posOffset>5862320</wp:posOffset>
                  </wp:positionH>
                  <wp:positionV relativeFrom="paragraph">
                    <wp:posOffset>2327275</wp:posOffset>
                  </wp:positionV>
                  <wp:extent cx="1282065" cy="1504950"/>
                  <wp:effectExtent l="0" t="0" r="13335" b="0"/>
                  <wp:wrapNone/>
                  <wp:docPr id="15" name="图片 15"/>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6"/>
                          <a:stretch>
                            <a:fillRect/>
                          </a:stretch>
                        </pic:blipFill>
                        <pic:spPr>
                          <a:xfrm>
                            <a:off x="0" y="0"/>
                            <a:ext cx="1282065" cy="1504950"/>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63360" behindDoc="0" locked="0" layoutInCell="1" allowOverlap="1">
                  <wp:simplePos x="0" y="0"/>
                  <wp:positionH relativeFrom="column">
                    <wp:posOffset>5709920</wp:posOffset>
                  </wp:positionH>
                  <wp:positionV relativeFrom="paragraph">
                    <wp:posOffset>2174875</wp:posOffset>
                  </wp:positionV>
                  <wp:extent cx="1282065" cy="1504950"/>
                  <wp:effectExtent l="0" t="0" r="13335" b="0"/>
                  <wp:wrapNone/>
                  <wp:docPr id="20" name="图片 16"/>
                  <wp:cNvGraphicFramePr/>
                  <a:graphic xmlns:a="http://schemas.openxmlformats.org/drawingml/2006/main">
                    <a:graphicData uri="http://schemas.openxmlformats.org/drawingml/2006/picture">
                      <pic:pic xmlns:pic="http://schemas.openxmlformats.org/drawingml/2006/picture">
                        <pic:nvPicPr>
                          <pic:cNvPr id="20" name="图片 16"/>
                          <pic:cNvPicPr/>
                        </pic:nvPicPr>
                        <pic:blipFill>
                          <a:blip r:embed="rId6"/>
                          <a:stretch>
                            <a:fillRect/>
                          </a:stretch>
                        </pic:blipFill>
                        <pic:spPr>
                          <a:xfrm>
                            <a:off x="0" y="0"/>
                            <a:ext cx="1282065" cy="1504950"/>
                          </a:xfrm>
                          <a:prstGeom prst="rect">
                            <a:avLst/>
                          </a:prstGeom>
                          <a:noFill/>
                          <a:ln>
                            <a:noFill/>
                          </a:ln>
                        </pic:spPr>
                      </pic:pic>
                    </a:graphicData>
                  </a:graphic>
                </wp:anchor>
              </w:drawing>
            </w:r>
          </w:p>
          <w:p w14:paraId="169C47A7">
            <w:pPr>
              <w:bidi w:val="0"/>
              <w:jc w:val="center"/>
              <w:rPr>
                <w:rFonts w:hint="eastAsia"/>
                <w:lang w:val="en-US" w:eastAsia="zh-CN"/>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67456" behindDoc="0" locked="0" layoutInCell="1" allowOverlap="1">
                  <wp:simplePos x="0" y="0"/>
                  <wp:positionH relativeFrom="column">
                    <wp:posOffset>5862320</wp:posOffset>
                  </wp:positionH>
                  <wp:positionV relativeFrom="paragraph">
                    <wp:posOffset>2327275</wp:posOffset>
                  </wp:positionV>
                  <wp:extent cx="1282065" cy="1504950"/>
                  <wp:effectExtent l="0" t="0" r="13335" b="0"/>
                  <wp:wrapNone/>
                  <wp:docPr id="17" name="图片 17"/>
                  <wp:cNvGraphicFramePr/>
                  <a:graphic xmlns:a="http://schemas.openxmlformats.org/drawingml/2006/main">
                    <a:graphicData uri="http://schemas.openxmlformats.org/drawingml/2006/picture">
                      <pic:pic xmlns:pic="http://schemas.openxmlformats.org/drawingml/2006/picture">
                        <pic:nvPicPr>
                          <pic:cNvPr id="17" name="图片 17"/>
                          <pic:cNvPicPr/>
                        </pic:nvPicPr>
                        <pic:blipFill>
                          <a:blip r:embed="rId6"/>
                          <a:stretch>
                            <a:fillRect/>
                          </a:stretch>
                        </pic:blipFill>
                        <pic:spPr>
                          <a:xfrm>
                            <a:off x="0" y="0"/>
                            <a:ext cx="1282065" cy="1504950"/>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65408" behindDoc="0" locked="0" layoutInCell="1" allowOverlap="1">
                  <wp:simplePos x="0" y="0"/>
                  <wp:positionH relativeFrom="column">
                    <wp:posOffset>5709920</wp:posOffset>
                  </wp:positionH>
                  <wp:positionV relativeFrom="paragraph">
                    <wp:posOffset>2174875</wp:posOffset>
                  </wp:positionV>
                  <wp:extent cx="1282065" cy="1504950"/>
                  <wp:effectExtent l="0" t="0" r="13335" b="0"/>
                  <wp:wrapNone/>
                  <wp:docPr id="12" name="图片 18"/>
                  <wp:cNvGraphicFramePr/>
                  <a:graphic xmlns:a="http://schemas.openxmlformats.org/drawingml/2006/main">
                    <a:graphicData uri="http://schemas.openxmlformats.org/drawingml/2006/picture">
                      <pic:pic xmlns:pic="http://schemas.openxmlformats.org/drawingml/2006/picture">
                        <pic:nvPicPr>
                          <pic:cNvPr id="12" name="图片 18"/>
                          <pic:cNvPicPr/>
                        </pic:nvPicPr>
                        <pic:blipFill>
                          <a:blip r:embed="rId6"/>
                          <a:stretch>
                            <a:fillRect/>
                          </a:stretch>
                        </pic:blipFill>
                        <pic:spPr>
                          <a:xfrm>
                            <a:off x="0" y="0"/>
                            <a:ext cx="1282065" cy="1504950"/>
                          </a:xfrm>
                          <a:prstGeom prst="rect">
                            <a:avLst/>
                          </a:prstGeom>
                          <a:noFill/>
                          <a:ln>
                            <a:noFill/>
                          </a:ln>
                        </pic:spPr>
                      </pic:pic>
                    </a:graphicData>
                  </a:graphic>
                </wp:anchor>
              </w:drawing>
            </w:r>
          </w:p>
        </w:tc>
      </w:tr>
      <w:tr w14:paraId="2B7B3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7" w:type="dxa"/>
            <w:vAlign w:val="center"/>
          </w:tcPr>
          <w:p w14:paraId="49D90E6D">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p>
        </w:tc>
        <w:tc>
          <w:tcPr>
            <w:tcW w:w="833" w:type="dxa"/>
            <w:vAlign w:val="center"/>
          </w:tcPr>
          <w:p w14:paraId="6948B9E4">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b/>
                <w:bCs/>
                <w:color w:val="000000"/>
                <w:kern w:val="0"/>
                <w:sz w:val="24"/>
                <w:szCs w:val="24"/>
                <w:lang w:val="en-US" w:eastAsia="zh-CN" w:bidi="ar"/>
              </w:rPr>
              <w:t>单</w:t>
            </w:r>
            <w:r>
              <w:rPr>
                <w:rFonts w:hint="eastAsia" w:asciiTheme="majorEastAsia" w:hAnsiTheme="majorEastAsia" w:eastAsiaTheme="majorEastAsia" w:cstheme="majorEastAsia"/>
                <w:b/>
                <w:bCs/>
                <w:color w:val="000000"/>
                <w:kern w:val="0"/>
                <w:sz w:val="24"/>
                <w:szCs w:val="24"/>
                <w:lang w:bidi="ar"/>
              </w:rPr>
              <w:t>列货架</w:t>
            </w:r>
          </w:p>
        </w:tc>
        <w:tc>
          <w:tcPr>
            <w:tcW w:w="5397" w:type="dxa"/>
            <w:vAlign w:val="center"/>
          </w:tcPr>
          <w:p w14:paraId="60A0D154">
            <w:pPr>
              <w:numPr>
                <w:ilvl w:val="0"/>
                <w:numId w:val="0"/>
              </w:numPr>
              <w:spacing w:line="240" w:lineRule="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lang w:val="en-US" w:eastAsia="zh-CN" w:bidi="ar"/>
              </w:rPr>
              <w:t>1、</w:t>
            </w:r>
            <w:r>
              <w:rPr>
                <w:rFonts w:hint="eastAsia" w:asciiTheme="majorEastAsia" w:hAnsiTheme="majorEastAsia" w:eastAsiaTheme="majorEastAsia" w:cstheme="majorEastAsia"/>
                <w:sz w:val="24"/>
                <w:szCs w:val="24"/>
              </w:rPr>
              <w:t>货架尺寸（L*W*H)2190*405*1748mm</w:t>
            </w:r>
            <w:r>
              <w:rPr>
                <w:rFonts w:hint="eastAsia" w:ascii="宋体" w:hAnsi="宋体" w:eastAsia="宋体" w:cs="宋体"/>
                <w:i w:val="0"/>
                <w:iCs w:val="0"/>
                <w:color w:val="000000"/>
                <w:kern w:val="0"/>
                <w:sz w:val="24"/>
                <w:szCs w:val="24"/>
                <w:u w:val="none"/>
                <w:lang w:val="en-US" w:eastAsia="zh-CN" w:bidi="ar"/>
              </w:rPr>
              <w:t>（四角可调节高度，脚距地面20cm。）</w:t>
            </w: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lang w:val="en-US" w:eastAsia="zh-CN"/>
              </w:rPr>
              <w:t>评审项4</w:t>
            </w:r>
            <w:r>
              <w:rPr>
                <w:rFonts w:hint="eastAsia" w:asciiTheme="majorEastAsia" w:hAnsiTheme="majorEastAsia" w:eastAsiaTheme="majorEastAsia" w:cstheme="majorEastAsia"/>
                <w:sz w:val="22"/>
                <w:szCs w:val="22"/>
                <w:lang w:eastAsia="zh-CN"/>
              </w:rPr>
              <w:t>】</w:t>
            </w:r>
          </w:p>
          <w:p w14:paraId="3DE79866">
            <w:pPr>
              <w:numPr>
                <w:ilvl w:val="0"/>
                <w:numId w:val="0"/>
              </w:numPr>
              <w:spacing w:line="24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2"/>
                <w:sz w:val="24"/>
                <w:szCs w:val="24"/>
                <w:lang w:val="en-US" w:eastAsia="zh-CN" w:bidi="ar-SA"/>
              </w:rPr>
              <w:t>2、</w:t>
            </w:r>
            <w:r>
              <w:rPr>
                <w:rFonts w:hint="eastAsia" w:asciiTheme="majorEastAsia" w:hAnsiTheme="majorEastAsia" w:eastAsiaTheme="majorEastAsia" w:cstheme="majorEastAsia"/>
                <w:sz w:val="24"/>
                <w:szCs w:val="24"/>
              </w:rPr>
              <w:t>可放置≥20个篮筐，本项目配置供货20个篮筐</w:t>
            </w: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lang w:val="en-US" w:eastAsia="zh-CN"/>
              </w:rPr>
              <w:t>评审项5</w:t>
            </w:r>
            <w:r>
              <w:rPr>
                <w:rFonts w:hint="eastAsia" w:asciiTheme="majorEastAsia" w:hAnsiTheme="majorEastAsia" w:eastAsiaTheme="majorEastAsia" w:cstheme="majorEastAsia"/>
                <w:sz w:val="22"/>
                <w:szCs w:val="22"/>
                <w:lang w:eastAsia="zh-CN"/>
              </w:rPr>
              <w:t>】</w:t>
            </w:r>
          </w:p>
          <w:p w14:paraId="73D30D35">
            <w:pPr>
              <w:numPr>
                <w:ilvl w:val="0"/>
                <w:numId w:val="0"/>
              </w:numPr>
              <w:spacing w:line="24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3、篮筐尺寸（L*W*H)535*380*195mm </w:t>
            </w: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lang w:val="en-US" w:eastAsia="zh-CN"/>
              </w:rPr>
              <w:t>评审项6</w:t>
            </w:r>
            <w:r>
              <w:rPr>
                <w:rFonts w:hint="eastAsia" w:asciiTheme="majorEastAsia" w:hAnsiTheme="majorEastAsia" w:eastAsiaTheme="majorEastAsia" w:cstheme="majorEastAsia"/>
                <w:sz w:val="22"/>
                <w:szCs w:val="22"/>
                <w:lang w:eastAsia="zh-CN"/>
              </w:rPr>
              <w:t>】</w:t>
            </w:r>
          </w:p>
        </w:tc>
        <w:tc>
          <w:tcPr>
            <w:tcW w:w="735" w:type="dxa"/>
            <w:vAlign w:val="center"/>
          </w:tcPr>
          <w:p w14:paraId="7C27B905">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个</w:t>
            </w:r>
          </w:p>
        </w:tc>
        <w:tc>
          <w:tcPr>
            <w:tcW w:w="1044" w:type="dxa"/>
            <w:vAlign w:val="center"/>
          </w:tcPr>
          <w:p w14:paraId="65A0EE66">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6</w:t>
            </w:r>
          </w:p>
        </w:tc>
        <w:tc>
          <w:tcPr>
            <w:tcW w:w="735" w:type="dxa"/>
            <w:vMerge w:val="continue"/>
            <w:vAlign w:val="center"/>
          </w:tcPr>
          <w:p w14:paraId="3B1D7E35">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p>
        </w:tc>
        <w:tc>
          <w:tcPr>
            <w:tcW w:w="1442" w:type="dxa"/>
            <w:vAlign w:val="center"/>
          </w:tcPr>
          <w:p w14:paraId="13BE7F0F">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69504" behindDoc="0" locked="0" layoutInCell="1" allowOverlap="1">
                  <wp:simplePos x="0" y="0"/>
                  <wp:positionH relativeFrom="column">
                    <wp:posOffset>-20955</wp:posOffset>
                  </wp:positionH>
                  <wp:positionV relativeFrom="paragraph">
                    <wp:posOffset>26670</wp:posOffset>
                  </wp:positionV>
                  <wp:extent cx="842010" cy="923290"/>
                  <wp:effectExtent l="0" t="0" r="15240" b="10160"/>
                  <wp:wrapNone/>
                  <wp:docPr id="13" name="图片_3_SpCnt_1"/>
                  <wp:cNvGraphicFramePr/>
                  <a:graphic xmlns:a="http://schemas.openxmlformats.org/drawingml/2006/main">
                    <a:graphicData uri="http://schemas.openxmlformats.org/drawingml/2006/picture">
                      <pic:pic xmlns:pic="http://schemas.openxmlformats.org/drawingml/2006/picture">
                        <pic:nvPicPr>
                          <pic:cNvPr id="13" name="图片_3_SpCnt_1"/>
                          <pic:cNvPicPr/>
                        </pic:nvPicPr>
                        <pic:blipFill>
                          <a:blip r:embed="rId7"/>
                          <a:stretch>
                            <a:fillRect/>
                          </a:stretch>
                        </pic:blipFill>
                        <pic:spPr>
                          <a:xfrm>
                            <a:off x="0" y="0"/>
                            <a:ext cx="842010" cy="923290"/>
                          </a:xfrm>
                          <a:prstGeom prst="rect">
                            <a:avLst/>
                          </a:prstGeom>
                          <a:noFill/>
                          <a:ln>
                            <a:noFill/>
                          </a:ln>
                        </pic:spPr>
                      </pic:pic>
                    </a:graphicData>
                  </a:graphic>
                </wp:anchor>
              </w:drawing>
            </w:r>
          </w:p>
        </w:tc>
      </w:tr>
      <w:tr w14:paraId="58029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7" w:type="dxa"/>
            <w:vAlign w:val="center"/>
          </w:tcPr>
          <w:p w14:paraId="351DA943">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b/>
                <w:bCs/>
                <w:color w:val="000000"/>
                <w:kern w:val="0"/>
                <w:sz w:val="24"/>
                <w:szCs w:val="24"/>
                <w:lang w:val="en-US" w:eastAsia="zh-CN" w:bidi="ar"/>
              </w:rPr>
              <w:t>◆</w:t>
            </w:r>
            <w:r>
              <w:rPr>
                <w:rFonts w:hint="eastAsia" w:asciiTheme="majorEastAsia" w:hAnsiTheme="majorEastAsia" w:eastAsiaTheme="majorEastAsia" w:cstheme="majorEastAsia"/>
                <w:color w:val="auto"/>
                <w:sz w:val="24"/>
                <w:szCs w:val="24"/>
                <w:highlight w:val="none"/>
                <w:lang w:val="en-US" w:eastAsia="zh-CN"/>
              </w:rPr>
              <w:t>3</w:t>
            </w:r>
          </w:p>
        </w:tc>
        <w:tc>
          <w:tcPr>
            <w:tcW w:w="833" w:type="dxa"/>
            <w:vAlign w:val="center"/>
          </w:tcPr>
          <w:p w14:paraId="27BEA5F7">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b/>
                <w:bCs/>
                <w:color w:val="000000"/>
                <w:kern w:val="0"/>
                <w:sz w:val="24"/>
                <w:szCs w:val="24"/>
                <w:lang w:bidi="ar"/>
              </w:rPr>
              <w:t>器械打包台</w:t>
            </w:r>
          </w:p>
        </w:tc>
        <w:tc>
          <w:tcPr>
            <w:tcW w:w="5397" w:type="dxa"/>
            <w:vAlign w:val="center"/>
          </w:tcPr>
          <w:p w14:paraId="5725ABD0">
            <w:pPr>
              <w:spacing w:line="24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w:t>
            </w:r>
            <w:r>
              <w:rPr>
                <w:rFonts w:hint="eastAsia" w:ascii="宋体" w:hAnsi="宋体" w:eastAsia="宋体" w:cs="宋体"/>
                <w:i w:val="0"/>
                <w:iCs w:val="0"/>
                <w:color w:val="000000"/>
                <w:kern w:val="0"/>
                <w:sz w:val="24"/>
                <w:szCs w:val="24"/>
                <w:u w:val="none"/>
                <w:lang w:val="en-US" w:eastAsia="zh-CN" w:bidi="ar"/>
              </w:rPr>
              <w:t>304不锈钢</w:t>
            </w:r>
            <w:r>
              <w:rPr>
                <w:rFonts w:hint="eastAsia" w:asciiTheme="majorEastAsia" w:hAnsiTheme="majorEastAsia" w:eastAsiaTheme="majorEastAsia" w:cstheme="majorEastAsia"/>
                <w:sz w:val="24"/>
                <w:szCs w:val="24"/>
              </w:rPr>
              <w:t>台面配置LED顶部照明≥2个；上方置物隔板≥1个；配斜口篮筐≥6个、（带翻盖）储物盒≥4组。</w:t>
            </w: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lang w:val="en-US" w:eastAsia="zh-CN"/>
              </w:rPr>
              <w:t>评审项7</w:t>
            </w:r>
            <w:r>
              <w:rPr>
                <w:rFonts w:hint="eastAsia" w:asciiTheme="majorEastAsia" w:hAnsiTheme="majorEastAsia" w:eastAsiaTheme="majorEastAsia" w:cstheme="majorEastAsia"/>
                <w:sz w:val="22"/>
                <w:szCs w:val="22"/>
                <w:lang w:eastAsia="zh-CN"/>
              </w:rPr>
              <w:t>】</w:t>
            </w:r>
          </w:p>
          <w:p w14:paraId="7BC2577A">
            <w:pPr>
              <w:spacing w:line="24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2、配置5孔插座≥9个，网口≥2个，气源座≥2个；带刹车万向轮4个，电脑支架≥1个，压力气枪≥2个，3层抽屉≥4个。</w:t>
            </w: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lang w:val="en-US" w:eastAsia="zh-CN"/>
              </w:rPr>
              <w:t>评审项8</w:t>
            </w:r>
            <w:r>
              <w:rPr>
                <w:rFonts w:hint="eastAsia" w:asciiTheme="majorEastAsia" w:hAnsiTheme="majorEastAsia" w:eastAsiaTheme="majorEastAsia" w:cstheme="majorEastAsia"/>
                <w:sz w:val="22"/>
                <w:szCs w:val="22"/>
                <w:lang w:eastAsia="zh-CN"/>
              </w:rPr>
              <w:t>】</w:t>
            </w:r>
          </w:p>
          <w:p w14:paraId="62C6AEE1">
            <w:pPr>
              <w:spacing w:line="24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3、尺寸规格（L*W*H)2000*1100*1450mm（四角带轮，具有刹车功能。）。</w:t>
            </w:r>
            <w:r>
              <w:rPr>
                <w:rFonts w:hint="eastAsia" w:asciiTheme="majorEastAsia" w:hAnsiTheme="majorEastAsia" w:eastAsiaTheme="majorEastAsia" w:cstheme="majorEastAsia"/>
                <w:sz w:val="22"/>
                <w:szCs w:val="22"/>
                <w:lang w:eastAsia="zh-CN"/>
              </w:rPr>
              <w:t>【</w:t>
            </w:r>
            <w:r>
              <w:rPr>
                <w:rFonts w:hint="eastAsia" w:asciiTheme="majorEastAsia" w:hAnsiTheme="majorEastAsia" w:eastAsiaTheme="majorEastAsia" w:cstheme="majorEastAsia"/>
                <w:sz w:val="22"/>
                <w:szCs w:val="22"/>
                <w:lang w:val="en-US" w:eastAsia="zh-CN"/>
              </w:rPr>
              <w:t>评审9</w:t>
            </w:r>
            <w:r>
              <w:rPr>
                <w:rFonts w:hint="eastAsia" w:asciiTheme="majorEastAsia" w:hAnsiTheme="majorEastAsia" w:eastAsiaTheme="majorEastAsia" w:cstheme="majorEastAsia"/>
                <w:sz w:val="22"/>
                <w:szCs w:val="22"/>
                <w:lang w:eastAsia="zh-CN"/>
              </w:rPr>
              <w:t>】</w:t>
            </w:r>
          </w:p>
        </w:tc>
        <w:tc>
          <w:tcPr>
            <w:tcW w:w="735" w:type="dxa"/>
            <w:vAlign w:val="center"/>
          </w:tcPr>
          <w:p w14:paraId="15B747E5">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台</w:t>
            </w:r>
          </w:p>
        </w:tc>
        <w:tc>
          <w:tcPr>
            <w:tcW w:w="1044" w:type="dxa"/>
            <w:vAlign w:val="center"/>
          </w:tcPr>
          <w:p w14:paraId="1E666235">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4</w:t>
            </w:r>
          </w:p>
        </w:tc>
        <w:tc>
          <w:tcPr>
            <w:tcW w:w="735" w:type="dxa"/>
            <w:vAlign w:val="center"/>
          </w:tcPr>
          <w:p w14:paraId="3B5BCC90">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用于手术器械的检查分类打包</w:t>
            </w:r>
          </w:p>
        </w:tc>
        <w:tc>
          <w:tcPr>
            <w:tcW w:w="1442" w:type="dxa"/>
            <w:vAlign w:val="center"/>
          </w:tcPr>
          <w:p w14:paraId="4BA37AA9">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70528" behindDoc="0" locked="0" layoutInCell="1" allowOverlap="1">
                  <wp:simplePos x="0" y="0"/>
                  <wp:positionH relativeFrom="column">
                    <wp:posOffset>-8255</wp:posOffset>
                  </wp:positionH>
                  <wp:positionV relativeFrom="paragraph">
                    <wp:posOffset>116205</wp:posOffset>
                  </wp:positionV>
                  <wp:extent cx="805815" cy="1335405"/>
                  <wp:effectExtent l="0" t="0" r="13335" b="17145"/>
                  <wp:wrapNone/>
                  <wp:docPr id="14" name="图片_5"/>
                  <wp:cNvGraphicFramePr/>
                  <a:graphic xmlns:a="http://schemas.openxmlformats.org/drawingml/2006/main">
                    <a:graphicData uri="http://schemas.openxmlformats.org/drawingml/2006/picture">
                      <pic:pic xmlns:pic="http://schemas.openxmlformats.org/drawingml/2006/picture">
                        <pic:nvPicPr>
                          <pic:cNvPr id="14" name="图片_5"/>
                          <pic:cNvPicPr/>
                        </pic:nvPicPr>
                        <pic:blipFill>
                          <a:blip r:embed="rId8"/>
                          <a:stretch>
                            <a:fillRect/>
                          </a:stretch>
                        </pic:blipFill>
                        <pic:spPr>
                          <a:xfrm>
                            <a:off x="0" y="0"/>
                            <a:ext cx="805815" cy="1335405"/>
                          </a:xfrm>
                          <a:prstGeom prst="rect">
                            <a:avLst/>
                          </a:prstGeom>
                          <a:noFill/>
                          <a:ln>
                            <a:noFill/>
                          </a:ln>
                        </pic:spPr>
                      </pic:pic>
                    </a:graphicData>
                  </a:graphic>
                </wp:anchor>
              </w:drawing>
            </w:r>
          </w:p>
        </w:tc>
      </w:tr>
      <w:tr w14:paraId="6F8B7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12" w:type="dxa"/>
            <w:gridSpan w:val="4"/>
            <w:vAlign w:val="center"/>
          </w:tcPr>
          <w:p w14:paraId="45B91B3C">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b/>
                <w:bCs/>
                <w:color w:val="auto"/>
                <w:sz w:val="24"/>
                <w:szCs w:val="24"/>
                <w:highlight w:val="none"/>
                <w:lang w:val="en-US" w:eastAsia="zh-CN"/>
              </w:rPr>
              <w:t>合计总金额（元）</w:t>
            </w:r>
          </w:p>
        </w:tc>
        <w:tc>
          <w:tcPr>
            <w:tcW w:w="1044" w:type="dxa"/>
            <w:vAlign w:val="center"/>
          </w:tcPr>
          <w:p w14:paraId="31B3E76A">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180000</w:t>
            </w:r>
          </w:p>
        </w:tc>
        <w:tc>
          <w:tcPr>
            <w:tcW w:w="735" w:type="dxa"/>
            <w:vAlign w:val="center"/>
          </w:tcPr>
          <w:p w14:paraId="13110C4E">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p>
        </w:tc>
        <w:tc>
          <w:tcPr>
            <w:tcW w:w="1442" w:type="dxa"/>
            <w:vAlign w:val="center"/>
          </w:tcPr>
          <w:p w14:paraId="494CCFE5">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p>
        </w:tc>
      </w:tr>
    </w:tbl>
    <w:p w14:paraId="6C4145FB">
      <w:pPr>
        <w:keepNext w:val="0"/>
        <w:keepLines w:val="0"/>
        <w:pageBreakBefore w:val="0"/>
        <w:kinsoku/>
        <w:overflowPunct/>
        <w:topLinePunct w:val="0"/>
        <w:bidi w:val="0"/>
        <w:snapToGrid/>
        <w:spacing w:line="240" w:lineRule="auto"/>
        <w:ind w:firstLine="480"/>
        <w:textAlignment w:val="auto"/>
        <w:rPr>
          <w:rFonts w:hint="eastAsia" w:ascii="宋体" w:hAnsi="宋体" w:eastAsia="宋体" w:cs="宋体"/>
          <w:b/>
          <w:sz w:val="24"/>
        </w:rPr>
      </w:pPr>
      <w:r>
        <w:rPr>
          <w:rFonts w:hint="eastAsia" w:ascii="宋体" w:hAnsi="宋体" w:eastAsia="宋体" w:cs="宋体"/>
          <w:b/>
          <w:sz w:val="24"/>
        </w:rPr>
        <w:t>注：</w:t>
      </w:r>
      <w:r>
        <w:rPr>
          <w:rFonts w:hint="eastAsia" w:ascii="宋体" w:hAnsi="宋体" w:eastAsia="宋体" w:cs="宋体"/>
          <w:b/>
          <w:sz w:val="24"/>
          <w:lang w:eastAsia="zh-CN"/>
        </w:rPr>
        <w:t>以上</w:t>
      </w:r>
      <w:r>
        <w:rPr>
          <w:rFonts w:hint="eastAsia" w:ascii="宋体" w:hAnsi="宋体" w:eastAsia="宋体" w:cs="宋体"/>
          <w:b/>
          <w:sz w:val="24"/>
        </w:rPr>
        <w:t>规格尺寸未标注范围值的，在不影响产品使用的前提下允许±2%偏离，参数中规格有特别说明偏离值的以参数中的偏离值为准。</w:t>
      </w:r>
    </w:p>
    <w:p w14:paraId="1030CBC7">
      <w:pPr>
        <w:pStyle w:val="4"/>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shd w:val="clear" w:color="auto" w:fill="FFFFFF"/>
        </w:rPr>
      </w:pPr>
      <w:r>
        <w:rPr>
          <w:rFonts w:hint="eastAsia" w:ascii="宋体" w:hAnsi="宋体" w:eastAsia="宋体" w:cs="宋体"/>
          <w:color w:val="auto"/>
          <w:highlight w:val="none"/>
          <w:shd w:val="clear" w:color="auto" w:fill="FFFFFF"/>
        </w:rPr>
        <w:t>三、商务条件</w:t>
      </w:r>
    </w:p>
    <w:p w14:paraId="1ACA120F">
      <w:pPr>
        <w:pStyle w:val="15"/>
        <w:keepNext w:val="0"/>
        <w:keepLines w:val="0"/>
        <w:pageBreakBefore w:val="0"/>
        <w:widowControl/>
        <w:shd w:val="clear"/>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采购包1：</w:t>
      </w:r>
    </w:p>
    <w:tbl>
      <w:tblPr>
        <w:tblStyle w:val="1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986"/>
        <w:gridCol w:w="1245"/>
        <w:gridCol w:w="1490"/>
        <w:gridCol w:w="6157"/>
      </w:tblGrid>
      <w:tr w14:paraId="3BB340E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99"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40E60DC">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序号</w:t>
            </w:r>
          </w:p>
        </w:tc>
        <w:tc>
          <w:tcPr>
            <w:tcW w:w="63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DBF1D2F">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b/>
                <w:bCs/>
                <w:color w:val="auto"/>
                <w:kern w:val="0"/>
                <w:sz w:val="24"/>
                <w:highlight w:val="none"/>
                <w:lang w:bidi="ar"/>
              </w:rPr>
            </w:pPr>
            <w:r>
              <w:rPr>
                <w:rFonts w:hint="eastAsia" w:ascii="宋体" w:hAnsi="宋体" w:eastAsia="宋体" w:cs="宋体"/>
                <w:b/>
                <w:bCs/>
                <w:color w:val="auto"/>
                <w:kern w:val="0"/>
                <w:sz w:val="24"/>
                <w:highlight w:val="none"/>
                <w:lang w:bidi="ar"/>
              </w:rPr>
              <w:t>参数</w:t>
            </w:r>
          </w:p>
          <w:p w14:paraId="43B475E4">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性质</w:t>
            </w:r>
          </w:p>
        </w:tc>
        <w:tc>
          <w:tcPr>
            <w:tcW w:w="754"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0385CCD">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类型</w:t>
            </w:r>
          </w:p>
        </w:tc>
        <w:tc>
          <w:tcPr>
            <w:tcW w:w="3116"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9F774E2">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要求</w:t>
            </w:r>
          </w:p>
        </w:tc>
      </w:tr>
      <w:tr w14:paraId="5F23EE0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27"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730EEF5">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0C6FCBD">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AB933D7">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交货时间</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9C928E4">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yellow"/>
              </w:rPr>
              <w:t>合同签订后（30）天内交货。</w:t>
            </w:r>
          </w:p>
        </w:tc>
      </w:tr>
      <w:tr w14:paraId="7068ED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5"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059E748">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E7ACA19">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D51A10F">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交货地点</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DFC4751">
            <w:pPr>
              <w:pStyle w:val="24"/>
              <w:keepNext w:val="0"/>
              <w:keepLines w:val="0"/>
              <w:pageBreakBefore w:val="0"/>
              <w:shd w:val="clear"/>
              <w:kinsoku/>
              <w:overflowPunct/>
              <w:topLinePunct w:val="0"/>
              <w:bidi w:val="0"/>
              <w:snapToGrid/>
              <w:spacing w:line="240" w:lineRule="auto"/>
              <w:jc w:val="both"/>
              <w:textAlignment w:val="auto"/>
              <w:rPr>
                <w:rFonts w:hint="default" w:ascii="宋体" w:hAnsi="宋体" w:eastAsia="宋体" w:cs="宋体"/>
                <w:color w:val="auto"/>
                <w:sz w:val="24"/>
                <w:szCs w:val="24"/>
                <w:highlight w:val="none"/>
                <w:lang w:val="en-US"/>
              </w:rPr>
            </w:pPr>
            <w:r>
              <w:rPr>
                <w:rFonts w:hint="eastAsia" w:eastAsia="宋体"/>
                <w:spacing w:val="0"/>
                <w:sz w:val="24"/>
                <w:szCs w:val="24"/>
                <w:highlight w:val="none"/>
                <w:lang w:val="en-US" w:eastAsia="zh-CN"/>
              </w:rPr>
              <w:t>采购人指定地点。</w:t>
            </w:r>
          </w:p>
        </w:tc>
      </w:tr>
      <w:tr w14:paraId="7301CE8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7"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A2519E8">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E913A07">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506DA3C">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交货条件</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E60AE78">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安装、调试完毕并验收合格后交付使用。</w:t>
            </w:r>
          </w:p>
        </w:tc>
      </w:tr>
      <w:tr w14:paraId="45EBCEC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7ED07A7">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A16F422">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7D79326">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是否邀请投标人验收</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D37A23C">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不邀请投标人验收</w:t>
            </w:r>
            <w:r>
              <w:rPr>
                <w:rFonts w:hint="eastAsia" w:ascii="宋体" w:hAnsi="宋体" w:eastAsia="宋体" w:cs="宋体"/>
                <w:color w:val="auto"/>
                <w:sz w:val="24"/>
                <w:szCs w:val="24"/>
                <w:highlight w:val="none"/>
                <w:lang w:eastAsia="zh-CN"/>
              </w:rPr>
              <w:t>。</w:t>
            </w:r>
          </w:p>
        </w:tc>
      </w:tr>
      <w:tr w14:paraId="78678F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F255381">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9DA439D">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E1213A3">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履约验收方式</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888D789">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1、期次1，说明：</w:t>
            </w:r>
            <w:r>
              <w:rPr>
                <w:rFonts w:ascii="宋体" w:hAnsi="宋体" w:eastAsia="宋体" w:cs="宋体"/>
                <w:kern w:val="0"/>
                <w:sz w:val="24"/>
                <w:szCs w:val="24"/>
                <w:highlight w:val="none"/>
                <w:lang w:val="en-US" w:eastAsia="zh-CN" w:bidi="ar"/>
              </w:rPr>
              <w:t>按照磋商文件要求</w:t>
            </w:r>
            <w:r>
              <w:rPr>
                <w:rFonts w:ascii="宋体" w:hAnsi="宋体" w:eastAsia="宋体" w:cs="宋体"/>
                <w:bCs/>
                <w:sz w:val="24"/>
                <w:szCs w:val="24"/>
                <w:highlight w:val="none"/>
              </w:rPr>
              <w:t>及合同要求执行</w:t>
            </w:r>
            <w:r>
              <w:rPr>
                <w:rFonts w:ascii="宋体" w:hAnsi="宋体" w:eastAsia="宋体" w:cs="宋体"/>
                <w:kern w:val="0"/>
                <w:sz w:val="24"/>
                <w:szCs w:val="24"/>
                <w:highlight w:val="none"/>
                <w:lang w:val="en-US" w:eastAsia="zh-CN" w:bidi="ar"/>
              </w:rPr>
              <w:t>。</w:t>
            </w:r>
          </w:p>
        </w:tc>
      </w:tr>
      <w:tr w14:paraId="5F95431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061"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CE01AAD">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41BB5C4">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A2BFB70">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合同支付方式</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8D5E27F">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经采购人验收合格后，持有正式发票和采购人所开具的验收合格证明，达到付款条件起30日内，支付合同总金额的97%，预留合同金额的3%作为质保金，待验收合格满两年后付清。</w:t>
            </w:r>
          </w:p>
        </w:tc>
      </w:tr>
      <w:tr w14:paraId="193CB5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82"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A13730A">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7</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E48A5C3">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BCBB206">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履约保证金</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E27D937">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缴纳, 本采购包履约保证金为合同金额的</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p>
          <w:p w14:paraId="4A3B8BB4">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缴纳方式：银行转账，支票/汇票/本票，保函/保险</w:t>
            </w:r>
          </w:p>
          <w:p w14:paraId="619FDE79">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说明：签订政府采购合同前，成交供应商向采购人交纳合同总金额的</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%为履约保证金，待合同履行完毕，且无其他未了事项后无息退还。</w:t>
            </w:r>
          </w:p>
        </w:tc>
      </w:tr>
    </w:tbl>
    <w:p w14:paraId="64049D5A">
      <w:pPr>
        <w:pStyle w:val="15"/>
        <w:keepNext w:val="0"/>
        <w:keepLines w:val="0"/>
        <w:pageBreakBefore w:val="0"/>
        <w:widowControl/>
        <w:shd w:val="clear" w:color="auto"/>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shd w:val="clear" w:color="auto" w:fill="FFFFFF"/>
        </w:rPr>
      </w:pPr>
      <w:r>
        <w:rPr>
          <w:rFonts w:hint="eastAsia" w:ascii="宋体" w:hAnsi="宋体" w:eastAsia="宋体" w:cs="宋体"/>
          <w:color w:val="auto"/>
          <w:highlight w:val="none"/>
          <w:shd w:val="clear" w:color="auto" w:fill="FFFFFF"/>
        </w:rPr>
        <w:t>其他商务要求：</w:t>
      </w:r>
    </w:p>
    <w:p w14:paraId="2C08A9AE">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8、运输、安装和调试</w:t>
      </w:r>
    </w:p>
    <w:p w14:paraId="24CD6BC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（1）由成交人负责将货物按签订合同的具体数量、具体地点运送到最终目的地，成交人负责派技术人员到现场进行安装、调试至验收合格交付采购人使用。</w:t>
      </w:r>
    </w:p>
    <w:p w14:paraId="2AD11DF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（2）货物包装必须与运输方式相适应，包装方式的确定及包装费用均由成交人负责；由于不适当的包装而造成货物在运输过程中有任何损坏由成交人负责。</w:t>
      </w:r>
    </w:p>
    <w:p w14:paraId="5BAB35F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（3）成交人应按照采购人指定的地点进行安装调试；安装调测时使用的工具、设备由成交人提供；设备调试由成交人负责，并提供相应的仪器和工具。成交人有责任对采购</w:t>
      </w:r>
      <w:r>
        <w:rPr>
          <w:rFonts w:hint="eastAsia" w:ascii="宋体" w:hAnsi="宋体" w:eastAsia="宋体" w:cs="宋体"/>
          <w:sz w:val="24"/>
          <w:szCs w:val="24"/>
          <w:highlight w:val="none"/>
          <w:lang w:val="en-US" w:eastAsia="zh-CN"/>
        </w:rPr>
        <w:t>人</w:t>
      </w:r>
      <w:r>
        <w:rPr>
          <w:rFonts w:hint="eastAsia" w:ascii="宋体" w:hAnsi="宋体" w:eastAsia="宋体" w:cs="宋体"/>
          <w:sz w:val="24"/>
          <w:szCs w:val="24"/>
          <w:highlight w:val="none"/>
        </w:rPr>
        <w:t>的技术人员提出的问题作出解答。调试应进行详细记录，系统调试结束后，由成交供应商技术人员签字后交给采购人验收。</w:t>
      </w:r>
    </w:p>
    <w:p w14:paraId="591FF5B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9、货物的检验、验收</w:t>
      </w:r>
    </w:p>
    <w:p w14:paraId="3A69142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（1）检验依据：①</w:t>
      </w:r>
      <w:r>
        <w:rPr>
          <w:rFonts w:hint="eastAsia" w:ascii="宋体" w:hAnsi="宋体" w:eastAsia="宋体" w:cs="宋体"/>
          <w:sz w:val="24"/>
          <w:szCs w:val="24"/>
          <w:highlight w:val="none"/>
          <w:lang w:val="en-US" w:eastAsia="zh-CN"/>
        </w:rPr>
        <w:t>磋商</w:t>
      </w:r>
      <w:r>
        <w:rPr>
          <w:rFonts w:hint="eastAsia" w:ascii="宋体" w:hAnsi="宋体" w:eastAsia="宋体" w:cs="宋体"/>
          <w:sz w:val="24"/>
          <w:szCs w:val="24"/>
          <w:highlight w:val="none"/>
        </w:rPr>
        <w:t>文件；②响应文件；③相关技术标准说明及国家有关的质量标准；上述标准若有不一致时，以较高标准为准。</w:t>
      </w:r>
    </w:p>
    <w:p w14:paraId="16451AE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（2）检验程序：出厂验收、到货验收、最终验收三个阶段。</w:t>
      </w:r>
    </w:p>
    <w:p w14:paraId="4E33D34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①出厂验收：</w:t>
      </w:r>
    </w:p>
    <w:p w14:paraId="3484F11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成交人在货物出厂前，应按产品技术标准规定的检验项目和试验方法进行全面检验，成交人应随同货物提供出厂检验报告、产品质量合格证，结果必须符合验收标准要求。</w:t>
      </w:r>
    </w:p>
    <w:p w14:paraId="7705FA1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②到货验收：</w:t>
      </w:r>
    </w:p>
    <w:p w14:paraId="0F8E6C7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货物按合同中的相关条款进行验收。所有设备必须是原装包装。若发现原包装破损或保修条款不满足要求，采购人有权不予接收，并要求成交人无条件免费重新更换，并按合同条款的有关规定执行。</w:t>
      </w:r>
    </w:p>
    <w:p w14:paraId="27DC063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③最终验收</w:t>
      </w:r>
      <w:r>
        <w:rPr>
          <w:rFonts w:hint="eastAsia" w:ascii="宋体" w:hAnsi="宋体" w:eastAsia="宋体" w:cs="宋体"/>
          <w:sz w:val="24"/>
          <w:szCs w:val="24"/>
          <w:highlight w:val="none"/>
          <w:lang w:eastAsia="zh-CN"/>
        </w:rPr>
        <w:t>：</w:t>
      </w:r>
    </w:p>
    <w:p w14:paraId="6B43D78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货物安装调试结束后，双方按合同有关规定的标准和要求进行验收。</w:t>
      </w:r>
    </w:p>
    <w:p w14:paraId="7E188C9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（3）验收各方应在验收报告上签署确认。</w:t>
      </w:r>
    </w:p>
    <w:p w14:paraId="7914ADB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（4）验收所发生的一切费用由成交人承担。</w:t>
      </w:r>
    </w:p>
    <w:p w14:paraId="7557D45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10、质保期和售后服务要求</w:t>
      </w:r>
    </w:p>
    <w:p w14:paraId="018913A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设备</w:t>
      </w:r>
      <w:r>
        <w:rPr>
          <w:rFonts w:hint="eastAsia" w:ascii="宋体" w:hAnsi="宋体" w:eastAsia="宋体" w:cs="宋体"/>
          <w:sz w:val="24"/>
          <w:szCs w:val="24"/>
          <w:highlight w:val="none"/>
        </w:rPr>
        <w:t>的质量保证期自验收合格之日起，成交人应对所供货物提供至少</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年（厂家或国家有更长质保期限规定的从其规定）的免费保修。成交人负责提供终身维修服务，对货物在必要时进行定期维护和修理。质保期结束后，更换配件时只收取配件的成本费。</w:t>
      </w:r>
    </w:p>
    <w:p w14:paraId="7737F95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（2）在质量保证期内，货物发生故障时，成交人在接到采购人故障电话通知后8小时内到达故障现场进行免费维修；质量保修期后，货物出现故障时，成交人在接到采购人故障电话通知后24小时内到达现场。</w:t>
      </w:r>
    </w:p>
    <w:p w14:paraId="292A26D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（3）如设备故障当场不能解决的，成交人应在48小时内提供同型号产品更换。</w:t>
      </w:r>
    </w:p>
    <w:p w14:paraId="2AEAA7D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rPr>
        <w:t>可视自身能力在响应文件中提供更优、更合理的维修服务承诺。</w:t>
      </w:r>
    </w:p>
    <w:p w14:paraId="503DDAE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11</w:t>
      </w:r>
      <w:r>
        <w:rPr>
          <w:rFonts w:hint="eastAsia" w:ascii="宋体" w:hAnsi="宋体" w:eastAsia="宋体" w:cs="宋体"/>
          <w:color w:val="FF0000"/>
          <w:sz w:val="24"/>
          <w:szCs w:val="24"/>
          <w:highlight w:val="none"/>
          <w:lang w:eastAsia="zh-CN"/>
        </w:rPr>
        <w:t>、</w:t>
      </w:r>
      <w:r>
        <w:rPr>
          <w:rFonts w:hint="eastAsia" w:ascii="宋体" w:hAnsi="宋体" w:eastAsia="宋体" w:cs="宋体"/>
          <w:color w:val="FF0000"/>
          <w:sz w:val="24"/>
          <w:szCs w:val="24"/>
          <w:highlight w:val="none"/>
        </w:rPr>
        <w:t>人员培训要求</w:t>
      </w:r>
    </w:p>
    <w:p w14:paraId="2EC2964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供应商须向采购人安排的工作人员介绍和培训设备功能。培训内容应针对</w:t>
      </w:r>
      <w:r>
        <w:rPr>
          <w:rFonts w:hint="eastAsia" w:ascii="宋体" w:hAnsi="宋体" w:eastAsia="宋体" w:cs="宋体"/>
          <w:sz w:val="24"/>
          <w:szCs w:val="24"/>
          <w:highlight w:val="none"/>
          <w:lang w:val="en-US" w:eastAsia="zh-CN"/>
        </w:rPr>
        <w:t>设备</w:t>
      </w:r>
      <w:r>
        <w:rPr>
          <w:rFonts w:hint="eastAsia" w:ascii="宋体" w:hAnsi="宋体" w:eastAsia="宋体" w:cs="宋体"/>
          <w:sz w:val="24"/>
          <w:szCs w:val="24"/>
          <w:highlight w:val="none"/>
        </w:rPr>
        <w:t>的使用、运行与维护分类进行。通过培训应使采购人能独立进行相应应用与管理、故障处理、日常维护等工作，确保产品能正常安全运行。培训所有的费用均计入总报价。</w:t>
      </w:r>
    </w:p>
    <w:p w14:paraId="7CDBA77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12、违约责任</w:t>
      </w:r>
    </w:p>
    <w:p w14:paraId="2D9E81F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12.1除本合同另有约定外，合同生效后无正当理由，双方均不得随意解除合同。否则提出解除合同一方，向另一方支付合同总金额10％违约金。</w:t>
      </w:r>
    </w:p>
    <w:p w14:paraId="5F54EFC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12.2成交人不能按期交货进场或完成验收合格的，每延误一日，成交人应按合同总金额的1‰向采购人支付违约金；逾期超过15天的，采购人有权单方面解除本合同，成交人仍应按上述约定支付延期交货违约金。</w:t>
      </w:r>
    </w:p>
    <w:p w14:paraId="2134504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12.3若成交人所交货不合格（包括所交货物不符合合同约定视为不合格），成交人应在7日内将不合格产品更换为合格产品，成交人每逾期1日，成交人应按合同总金额的1‰向采购人支付违约金，逾期超过7天的，采购人有权单方面解除本合同。</w:t>
      </w:r>
    </w:p>
    <w:p w14:paraId="3581304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12.4在采购人发出的违约通知后7天内（或经采购人书面确认的更长时间内）仍未纠正其下述任何一种违约行为，采购人有权单方面解除合同，若因此给采购人造成的损失的，成交人还应予以赔偿：</w:t>
      </w:r>
    </w:p>
    <w:p w14:paraId="2D508F8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a)所提供的货物、配件与响应文件的承诺不相符；</w:t>
      </w:r>
    </w:p>
    <w:p w14:paraId="7624C24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b)不能达到行业、国家或国际相关标准或要求；</w:t>
      </w:r>
    </w:p>
    <w:p w14:paraId="2116699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c)成交人违反承诺的品牌、生产厂家、报价、质量和</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文件规定的质量、技术与性能、售后服务的内容行为；</w:t>
      </w:r>
    </w:p>
    <w:p w14:paraId="529359C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d)成交人不配合采购人参加验收工作或不提供有关资料；</w:t>
      </w:r>
    </w:p>
    <w:p w14:paraId="748A16C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e)发生破产、重组或停业整顿，或相应资质被有关部门吊销等，无法继续履约的；</w:t>
      </w:r>
    </w:p>
    <w:p w14:paraId="0C7B6D5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f)无正当理由不履行本合同项下的义务。</w:t>
      </w:r>
    </w:p>
    <w:p w14:paraId="759D5BA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12.5成交人在货物运输、装卸等履行合同的各种环节中产生的一切意外事故，如人员伤害、货物或配件的损坏等概由成交人负责。</w:t>
      </w:r>
    </w:p>
    <w:p w14:paraId="0F3E2B6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12.6成交后，因不可抗力因素（地震、台风、洪水、火灾、政府行为、法律规定或其适用的变化或者其他任何无法预见、避免或者控制的事件或其他客观因素等），造成遭受不可抗力一方不能签订合同的，遭受不可抗力一方应及时向对方通报不能签订合同的理由，并在随后取得有关主管机关证明后的15日内向另一方提供不可抗力发生及持续期间的充分证据。基于以上行为，允许遭受不可抗力一方不能签订合同，并根据情况可部分或全部免于承担相关责任，本项目依法重新招标或终止。成交人为本项目已付出的经采购人认可的工作或已提供的合格货物等所产生的费用，采购人按实支付。</w:t>
      </w:r>
    </w:p>
    <w:p w14:paraId="1965811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12.7在明确违约责任后，成交人应在接到采购人发出书面通知书后七天内支付违约金、赔偿金等（采购人有权从履约担保或合同款中直接扣除）。</w:t>
      </w:r>
    </w:p>
    <w:p w14:paraId="3E0F462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12.8未作规定的其他违约责任，双方在签订合同时进行约定。</w:t>
      </w:r>
    </w:p>
    <w:p w14:paraId="0C6218F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FF0000"/>
          <w:sz w:val="24"/>
          <w:szCs w:val="24"/>
          <w:highlight w:val="none"/>
        </w:rPr>
        <w:t>13、</w:t>
      </w:r>
      <w:r>
        <w:rPr>
          <w:rFonts w:hint="eastAsia" w:ascii="宋体" w:hAnsi="宋体" w:eastAsia="宋体" w:cs="宋体"/>
          <w:sz w:val="24"/>
          <w:szCs w:val="24"/>
          <w:highlight w:val="none"/>
        </w:rPr>
        <w:t>为保证成交人在响应文件中所附资料的真实性，采购人有权要求对成交人有关</w:t>
      </w:r>
      <w:r>
        <w:rPr>
          <w:rFonts w:hint="eastAsia" w:ascii="宋体" w:hAnsi="宋体" w:eastAsia="宋体" w:cs="宋体"/>
          <w:sz w:val="24"/>
          <w:szCs w:val="24"/>
          <w:highlight w:val="none"/>
          <w:lang w:val="en-US" w:eastAsia="zh-CN"/>
        </w:rPr>
        <w:t>材料</w:t>
      </w:r>
      <w:r>
        <w:rPr>
          <w:rFonts w:hint="eastAsia" w:ascii="宋体" w:hAnsi="宋体" w:eastAsia="宋体" w:cs="宋体"/>
          <w:sz w:val="24"/>
          <w:szCs w:val="24"/>
          <w:highlight w:val="none"/>
        </w:rPr>
        <w:t>进行核实时，成交人不得以各种理由拒绝提供</w:t>
      </w:r>
      <w:r>
        <w:rPr>
          <w:rFonts w:hint="eastAsia" w:ascii="宋体" w:hAnsi="宋体" w:eastAsia="宋体" w:cs="宋体"/>
          <w:sz w:val="24"/>
          <w:szCs w:val="24"/>
          <w:highlight w:val="none"/>
          <w:lang w:val="en-US" w:eastAsia="zh-CN"/>
        </w:rPr>
        <w:t>材料</w:t>
      </w:r>
      <w:r>
        <w:rPr>
          <w:rFonts w:hint="eastAsia" w:ascii="宋体" w:hAnsi="宋体" w:eastAsia="宋体" w:cs="宋体"/>
          <w:sz w:val="24"/>
          <w:szCs w:val="24"/>
          <w:highlight w:val="none"/>
        </w:rPr>
        <w:t>，否则视为无效</w:t>
      </w:r>
      <w:r>
        <w:rPr>
          <w:rFonts w:hint="eastAsia" w:ascii="宋体" w:hAnsi="宋体" w:eastAsia="宋体" w:cs="宋体"/>
          <w:sz w:val="24"/>
          <w:szCs w:val="24"/>
          <w:highlight w:val="none"/>
          <w:lang w:val="en-US" w:eastAsia="zh-CN"/>
        </w:rPr>
        <w:t>响应</w:t>
      </w:r>
      <w:r>
        <w:rPr>
          <w:rFonts w:hint="eastAsia" w:ascii="宋体" w:hAnsi="宋体" w:eastAsia="宋体" w:cs="宋体"/>
          <w:sz w:val="24"/>
          <w:szCs w:val="24"/>
          <w:highlight w:val="none"/>
        </w:rPr>
        <w:t>。</w:t>
      </w:r>
    </w:p>
    <w:p w14:paraId="226F0BA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color w:val="auto"/>
          <w:highlight w:val="none"/>
          <w:shd w:val="clear" w:color="auto" w:fill="FFFFFF"/>
          <w:lang w:val="en-US" w:eastAsia="zh-CN"/>
        </w:rPr>
      </w:pPr>
      <w:r>
        <w:rPr>
          <w:rFonts w:hint="eastAsia" w:ascii="宋体" w:hAnsi="宋体" w:eastAsia="宋体" w:cs="宋体"/>
          <w:color w:val="FF0000"/>
          <w:sz w:val="24"/>
          <w:szCs w:val="24"/>
          <w:highlight w:val="none"/>
        </w:rPr>
        <w:t>14、</w:t>
      </w:r>
      <w:r>
        <w:rPr>
          <w:rFonts w:hint="eastAsia" w:ascii="宋体" w:hAnsi="宋体" w:eastAsia="宋体" w:cs="宋体"/>
          <w:sz w:val="24"/>
          <w:szCs w:val="24"/>
          <w:highlight w:val="none"/>
          <w:lang w:val="en-US" w:eastAsia="zh-CN"/>
        </w:rPr>
        <w:t>磋商</w:t>
      </w:r>
      <w:r>
        <w:rPr>
          <w:rFonts w:hint="eastAsia" w:ascii="宋体" w:hAnsi="宋体" w:eastAsia="宋体" w:cs="宋体"/>
          <w:sz w:val="24"/>
          <w:szCs w:val="24"/>
          <w:highlight w:val="none"/>
        </w:rPr>
        <w:t>文件未作规定的，双方可在签订合同时进行约定。</w:t>
      </w:r>
    </w:p>
    <w:p w14:paraId="53B1CA5A">
      <w:pPr>
        <w:pStyle w:val="4"/>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333333"/>
        </w:rPr>
      </w:pPr>
      <w:r>
        <w:rPr>
          <w:rFonts w:hint="eastAsia" w:ascii="宋体" w:hAnsi="宋体" w:eastAsia="宋体" w:cs="宋体"/>
          <w:color w:val="333333"/>
          <w:shd w:val="clear" w:color="auto" w:fill="FFFFFF"/>
        </w:rPr>
        <w:t>四、其他事项</w:t>
      </w:r>
    </w:p>
    <w:p w14:paraId="77A84B8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一</w:t>
      </w:r>
      <w:r>
        <w:rPr>
          <w:rFonts w:hint="eastAsia" w:ascii="宋体" w:hAnsi="宋体" w:eastAsia="宋体" w:cs="宋体"/>
        </w:rPr>
        <w:t>）本</w:t>
      </w:r>
      <w:r>
        <w:rPr>
          <w:rFonts w:hint="eastAsia" w:ascii="宋体" w:hAnsi="宋体" w:eastAsia="宋体" w:cs="宋体"/>
          <w:lang w:eastAsia="zh-CN"/>
        </w:rPr>
        <w:t>磋商</w:t>
      </w:r>
      <w:r>
        <w:rPr>
          <w:rFonts w:hint="eastAsia" w:ascii="宋体" w:hAnsi="宋体" w:eastAsia="宋体" w:cs="宋体"/>
        </w:rPr>
        <w:t>文件未明确的其它约定事项或条款，待采购人与成交人签订合同时，由双方协商订立。</w:t>
      </w:r>
    </w:p>
    <w:p w14:paraId="289F196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二</w:t>
      </w:r>
      <w:r>
        <w:rPr>
          <w:rFonts w:hint="eastAsia" w:ascii="宋体" w:hAnsi="宋体" w:eastAsia="宋体" w:cs="宋体"/>
          <w:lang w:eastAsia="zh-CN"/>
        </w:rPr>
        <w:t>）</w:t>
      </w:r>
      <w:r>
        <w:rPr>
          <w:rFonts w:hint="eastAsia" w:ascii="宋体" w:hAnsi="宋体" w:eastAsia="宋体" w:cs="宋体"/>
        </w:rPr>
        <w:t>本项目不允许成交供应商以任何名义和理由在成交后将成交项目的主体、非主体、关键性工作、非关键性工作进行转包、分包。在履行合同过程中如有发现，采购人有权单方终止合同，并没收履约保证金。视为成交供应商违约，成交供应商违约对采购人造成的损失的，需另行支付相应的赔偿，并追究相关法律责任。</w:t>
      </w:r>
    </w:p>
    <w:p w14:paraId="697E339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color w:val="333333"/>
          <w:shd w:val="clear" w:color="auto" w:fill="FFFFFF"/>
        </w:rPr>
        <w:t> </w:t>
      </w:r>
    </w:p>
    <w:p w14:paraId="19631DDC">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333333"/>
          <w:sz w:val="39"/>
          <w:szCs w:val="39"/>
          <w:shd w:val="clear" w:color="auto" w:fill="FFFFFF"/>
        </w:rPr>
      </w:pPr>
      <w:r>
        <w:rPr>
          <w:rFonts w:hint="eastAsia" w:ascii="宋体" w:hAnsi="宋体" w:eastAsia="宋体" w:cs="宋体"/>
          <w:b/>
          <w:bCs/>
          <w:color w:val="333333"/>
          <w:sz w:val="39"/>
          <w:szCs w:val="39"/>
          <w:shd w:val="clear" w:color="auto" w:fill="FFFFFF"/>
        </w:rPr>
        <w:br w:type="page"/>
      </w:r>
    </w:p>
    <w:p w14:paraId="069D00D4">
      <w:pPr>
        <w:pStyle w:val="3"/>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sz w:val="39"/>
          <w:szCs w:val="39"/>
        </w:rPr>
      </w:pPr>
      <w:bookmarkStart w:id="7" w:name="_Toc20816"/>
      <w:r>
        <w:rPr>
          <w:rFonts w:hint="eastAsia" w:ascii="宋体" w:hAnsi="宋体" w:eastAsia="宋体" w:cs="宋体"/>
          <w:color w:val="333333"/>
          <w:sz w:val="39"/>
          <w:szCs w:val="39"/>
          <w:shd w:val="clear" w:color="auto" w:fill="FFFFFF"/>
        </w:rPr>
        <w:t>第四章合同主要条款及格式</w:t>
      </w:r>
      <w:bookmarkEnd w:id="7"/>
    </w:p>
    <w:p w14:paraId="18871E7F">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合同编号：</w:t>
      </w:r>
    </w:p>
    <w:p w14:paraId="1A57000A">
      <w:pPr>
        <w:pStyle w:val="24"/>
        <w:spacing w:line="240" w:lineRule="auto"/>
        <w:jc w:val="center"/>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福建省</w:t>
      </w:r>
      <w:r>
        <w:rPr>
          <w:rFonts w:hint="eastAsia" w:ascii="宋体" w:hAnsi="宋体" w:eastAsia="宋体" w:cs="宋体"/>
          <w:b/>
          <w:color w:val="auto"/>
          <w:sz w:val="24"/>
          <w:szCs w:val="24"/>
          <w:highlight w:val="none"/>
          <w:lang w:eastAsia="zh-CN"/>
        </w:rPr>
        <w:t>采购合同</w:t>
      </w:r>
      <w:r>
        <w:rPr>
          <w:rFonts w:ascii="宋体" w:hAnsi="宋体" w:eastAsia="宋体" w:cs="宋体"/>
          <w:b/>
          <w:color w:val="auto"/>
          <w:sz w:val="24"/>
          <w:szCs w:val="24"/>
          <w:highlight w:val="none"/>
        </w:rPr>
        <w:t>（货物类）</w:t>
      </w:r>
    </w:p>
    <w:p w14:paraId="0461A655">
      <w:pPr>
        <w:pStyle w:val="24"/>
        <w:spacing w:line="240" w:lineRule="auto"/>
        <w:jc w:val="center"/>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编制说明</w:t>
      </w:r>
    </w:p>
    <w:p w14:paraId="6C42C293">
      <w:pPr>
        <w:pStyle w:val="24"/>
        <w:spacing w:line="240" w:lineRule="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1.签订合同应遵守《中华人民共和国</w:t>
      </w:r>
      <w:r>
        <w:rPr>
          <w:rFonts w:hint="eastAsia" w:ascii="宋体" w:hAnsi="宋体" w:eastAsia="宋体" w:cs="宋体"/>
          <w:b/>
          <w:color w:val="auto"/>
          <w:sz w:val="24"/>
          <w:szCs w:val="24"/>
          <w:highlight w:val="none"/>
          <w:lang w:eastAsia="zh-CN"/>
        </w:rPr>
        <w:t>招标投标法</w:t>
      </w:r>
      <w:r>
        <w:rPr>
          <w:rFonts w:ascii="宋体" w:hAnsi="宋体" w:eastAsia="宋体" w:cs="宋体"/>
          <w:b/>
          <w:color w:val="auto"/>
          <w:sz w:val="24"/>
          <w:szCs w:val="24"/>
          <w:highlight w:val="none"/>
        </w:rPr>
        <w:t>》及其实施条例、《中华人民共和国民法典》等法律法规及其他有关规定。</w:t>
      </w:r>
    </w:p>
    <w:p w14:paraId="79DFD572">
      <w:pPr>
        <w:pStyle w:val="24"/>
        <w:spacing w:line="240" w:lineRule="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2.签订合同时，采购人与中标(成交)人应结合采购文件规定填列相应内容。采购文件已有约定的，双方均不得对约定进行变更或调整；采购文件未作规定的，双方可通过友好协商进行约定。</w:t>
      </w:r>
    </w:p>
    <w:p w14:paraId="10B40043">
      <w:pPr>
        <w:pStyle w:val="24"/>
        <w:spacing w:line="240" w:lineRule="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3.政府有关主管部门对若干合同有规范文本的，可使用相应合同文本。</w:t>
      </w:r>
    </w:p>
    <w:p w14:paraId="3AAE4191">
      <w:pPr>
        <w:pStyle w:val="24"/>
        <w:spacing w:line="240" w:lineRule="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4.本合同范本仅供参考，采购人应当根据采购项目的实际需求对合同条款进行修改、补充。</w:t>
      </w:r>
    </w:p>
    <w:p w14:paraId="571D8A18">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甲方： ___________</w:t>
      </w:r>
    </w:p>
    <w:p w14:paraId="58121264">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住所地： ___________</w:t>
      </w:r>
    </w:p>
    <w:p w14:paraId="0A883227">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联系人： ___________</w:t>
      </w:r>
    </w:p>
    <w:p w14:paraId="4D9AAE20">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联系电话：___________</w:t>
      </w:r>
    </w:p>
    <w:p w14:paraId="0240646C">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传真：___________</w:t>
      </w:r>
    </w:p>
    <w:p w14:paraId="73A0068B">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电子邮箱：___________</w:t>
      </w:r>
      <w:r>
        <w:rPr>
          <w:rFonts w:ascii="宋体" w:hAnsi="宋体" w:eastAsia="宋体" w:cs="宋体"/>
          <w:color w:val="auto"/>
          <w:sz w:val="24"/>
          <w:szCs w:val="24"/>
          <w:highlight w:val="none"/>
        </w:rPr>
        <w:br w:type="textWrapping"/>
      </w:r>
    </w:p>
    <w:p w14:paraId="7ECB1CCE">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乙方： ___________</w:t>
      </w:r>
    </w:p>
    <w:p w14:paraId="5627A1E4">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住所地： ___________</w:t>
      </w:r>
    </w:p>
    <w:p w14:paraId="73D41486">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联系人：___________</w:t>
      </w:r>
    </w:p>
    <w:p w14:paraId="32E7DFF1">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联系电话：___________</w:t>
      </w:r>
    </w:p>
    <w:p w14:paraId="2E920C18">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传真：___________</w:t>
      </w:r>
    </w:p>
    <w:p w14:paraId="56EAD485">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电子邮箱：___________</w:t>
      </w:r>
    </w:p>
    <w:p w14:paraId="2D34C52D">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根据项目编号为________ 的 ___________项目（以下简称：“本项目”）的采购结果，遵循平等、自愿、公平和诚实信用的原则，双方签署本合同，具体内容如下：</w:t>
      </w:r>
    </w:p>
    <w:p w14:paraId="2F2A6C58">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一、合同组成部分</w:t>
      </w:r>
    </w:p>
    <w:p w14:paraId="5D15ED8F">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1.1本合同条款及附件；</w:t>
      </w:r>
    </w:p>
    <w:p w14:paraId="79FDF302">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1.2采购文件及其附件、补充文件；</w:t>
      </w:r>
    </w:p>
    <w:p w14:paraId="70B7C953">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1.3乙方的响应文件及其附件、补充文件；</w:t>
      </w:r>
    </w:p>
    <w:p w14:paraId="538E1935">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1.4其他文件或材料：</w:t>
      </w:r>
    </w:p>
    <w:p w14:paraId="20B5EB8A">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二、合同标的</w:t>
      </w:r>
      <w:r>
        <w:rPr>
          <w:rFonts w:ascii="宋体" w:hAnsi="宋体" w:eastAsia="宋体" w:cs="宋体"/>
          <w:color w:val="auto"/>
          <w:sz w:val="24"/>
          <w:szCs w:val="24"/>
          <w:highlight w:val="none"/>
        </w:rPr>
        <w:br w:type="textWrapping"/>
      </w:r>
    </w:p>
    <w:p w14:paraId="2BA60964">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三、合同金额</w:t>
      </w:r>
    </w:p>
    <w:p w14:paraId="74761F7E">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3.1合同总价：人民币（大写）_________ 元（￥_________元）；</w:t>
      </w:r>
    </w:p>
    <w:p w14:paraId="27CB4665">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3.2合同总价组成：_____</w:t>
      </w:r>
      <w:r>
        <w:rPr>
          <w:rFonts w:hint="eastAsia" w:ascii="宋体" w:hAnsi="宋体" w:eastAsia="宋体" w:cs="宋体"/>
          <w:color w:val="auto"/>
          <w:sz w:val="24"/>
          <w:szCs w:val="24"/>
          <w:highlight w:val="none"/>
          <w:lang w:val="en-US" w:eastAsia="zh-CN"/>
        </w:rPr>
        <w:t>/</w:t>
      </w:r>
      <w:r>
        <w:rPr>
          <w:rFonts w:ascii="宋体" w:hAnsi="宋体" w:eastAsia="宋体" w:cs="宋体"/>
          <w:color w:val="auto"/>
          <w:sz w:val="24"/>
          <w:szCs w:val="24"/>
          <w:highlight w:val="none"/>
        </w:rPr>
        <w:t>______；</w:t>
      </w:r>
    </w:p>
    <w:p w14:paraId="3E4D804C">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3.3其他需说明事项：____</w:t>
      </w:r>
      <w:r>
        <w:rPr>
          <w:rFonts w:hint="eastAsia" w:ascii="宋体" w:hAnsi="宋体" w:eastAsia="宋体" w:cs="宋体"/>
          <w:color w:val="auto"/>
          <w:sz w:val="24"/>
          <w:szCs w:val="24"/>
          <w:highlight w:val="none"/>
          <w:lang w:val="en-US" w:eastAsia="zh-CN"/>
        </w:rPr>
        <w:t>/</w:t>
      </w:r>
      <w:r>
        <w:rPr>
          <w:rFonts w:ascii="宋体" w:hAnsi="宋体" w:eastAsia="宋体" w:cs="宋体"/>
          <w:color w:val="auto"/>
          <w:sz w:val="24"/>
          <w:szCs w:val="24"/>
          <w:highlight w:val="none"/>
        </w:rPr>
        <w:t>_______；</w:t>
      </w:r>
    </w:p>
    <w:p w14:paraId="4C86F8DA">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四、合同标的交付</w:t>
      </w:r>
    </w:p>
    <w:p w14:paraId="185C20ED">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4.1交付时间：___________</w:t>
      </w:r>
    </w:p>
    <w:p w14:paraId="5D4FEA02">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4.2交付地点：___________</w:t>
      </w:r>
    </w:p>
    <w:p w14:paraId="75555746">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4.3交付条件：___________</w:t>
      </w:r>
    </w:p>
    <w:p w14:paraId="76B74B0C">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4.4供货要求：</w:t>
      </w:r>
    </w:p>
    <w:p w14:paraId="0ACF2C80">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(1)乙方提供的产品必须是采购文件和响应文件中约定的产品，其技术指标、型号须符合相关要求。供货时，乙方须向甲方提供产品说明书、保修卡、质量保证书等相关资料和原配的附件。原装进口产品（设备）交货时须提供中文产品说明书、保修卡、质量保证书、装箱单、商检证明等资料。制造编号与包装箱编号应一致。</w:t>
      </w:r>
    </w:p>
    <w:p w14:paraId="320DBDCE">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(2)乙方提供的全部货物均应采用标准保护措施进行包装，除采购文件中的采购需求另有要求外，乙方所提供的货物包装应当参照财政部办公厅等联合印发的《关于印发&lt;商品包装政府采购需求标准（试行）&gt; &lt;快递包装政府采购需求标准（试行）&gt; 的通知》（财办库〔2020〕123号）要求，包装应适用于远距离运输、防潮、防震、防锈和防野蛮装卸等要求，确保货物安全无损运抵现场。由于包装、运输、安装、调试等不善所引起的货物损坏或损失均由乙方承担。</w:t>
      </w:r>
    </w:p>
    <w:p w14:paraId="7D356BFC">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(3)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78537E8B">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若乙方提供的采购标的不符合国家知识产权法律、法规的规定或被有关主管机关认定为假冒伪劣品，则乙方中标或成交资格将被取消；甲方还将按照有关法律、法规和规章的规定进行处理</w:t>
      </w:r>
      <w:r>
        <w:rPr>
          <w:rFonts w:hint="eastAsia" w:ascii="宋体" w:hAnsi="宋体" w:eastAsia="宋体" w:cs="宋体"/>
          <w:color w:val="auto"/>
          <w:sz w:val="24"/>
          <w:szCs w:val="24"/>
          <w:highlight w:val="none"/>
          <w:lang w:eastAsia="zh-CN"/>
        </w:rPr>
        <w:t>。</w:t>
      </w:r>
    </w:p>
    <w:p w14:paraId="0F6BB8DE">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(4)乙方完全遵守《中华人民共和国劳动合同法》有关规定和《中华人民共和国妇女权益保障法》中关于“劳动和社会保障权益”的有关要求。</w:t>
      </w:r>
    </w:p>
    <w:p w14:paraId="1A385536">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 xml:space="preserve"> （5）其他供货要求：</w:t>
      </w:r>
      <w:r>
        <w:rPr>
          <w:rFonts w:hint="eastAsia" w:ascii="宋体" w:hAnsi="宋体" w:eastAsia="宋体" w:cs="宋体"/>
          <w:color w:val="auto"/>
          <w:sz w:val="24"/>
          <w:szCs w:val="24"/>
          <w:highlight w:val="none"/>
          <w:lang w:val="en-US" w:eastAsia="zh-CN"/>
        </w:rPr>
        <w:t>/</w:t>
      </w:r>
    </w:p>
    <w:p w14:paraId="629757CB">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五、质量标准及要求</w:t>
      </w:r>
    </w:p>
    <w:p w14:paraId="3BBDD05C">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5.1质量标准及要求</w:t>
      </w:r>
    </w:p>
    <w:p w14:paraId="413FAA7E">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Hans"/>
        </w:rPr>
        <w:t>乙方所提供的货物必须是原厂生产的、全新的、未使用过的，并完全符合原厂质量检测标准（以说明书为准）和国家质量检测标准以及合同规定的质量规格和性能要求。所有产品必须是原装包装，产品外观应无破损、裂缝和缺陷且标识清晰。若发现原包装破损或保修条款不满足要求，采购人有权不予接收，并要求中标人无条件免费重新更换。乙方不按本合同约定提交货物所产生的任何费用由乙方负责，甲方对由此所引起的变动可以不予确认。</w:t>
      </w:r>
    </w:p>
    <w:p w14:paraId="7BC4D097">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5.</w:t>
      </w:r>
      <w:r>
        <w:rPr>
          <w:rFonts w:hint="eastAsia" w:ascii="宋体" w:hAnsi="宋体" w:eastAsia="宋体" w:cs="宋体"/>
          <w:color w:val="auto"/>
          <w:sz w:val="24"/>
          <w:szCs w:val="24"/>
          <w:highlight w:val="none"/>
          <w:lang w:val="en-US" w:eastAsia="zh-CN"/>
        </w:rPr>
        <w:t>2</w:t>
      </w:r>
      <w:r>
        <w:rPr>
          <w:rFonts w:ascii="宋体" w:hAnsi="宋体" w:eastAsia="宋体" w:cs="宋体"/>
          <w:color w:val="auto"/>
          <w:sz w:val="24"/>
          <w:szCs w:val="24"/>
          <w:highlight w:val="none"/>
        </w:rPr>
        <w:t>质量保证范围、质量保证期及售后服务</w:t>
      </w:r>
    </w:p>
    <w:p w14:paraId="3AEA6255">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（1）质量保证范围：</w:t>
      </w:r>
      <w:r>
        <w:rPr>
          <w:rFonts w:hint="eastAsia" w:ascii="宋体" w:hAnsi="宋体" w:eastAsia="宋体" w:cs="宋体"/>
          <w:color w:val="auto"/>
          <w:sz w:val="24"/>
          <w:szCs w:val="24"/>
          <w:highlight w:val="none"/>
        </w:rPr>
        <w:t>保修期内，须按合同条款提供免费服务，非因操作不当造成要更换的零配件及设备由乙方负责包修、包换。</w:t>
      </w:r>
    </w:p>
    <w:p w14:paraId="021A02F9">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（2）本合同乙方所供应的货物质量保证期自验收合格之日起</w:t>
      </w:r>
      <w:r>
        <w:rPr>
          <w:rFonts w:hint="eastAsia" w:ascii="宋体" w:hAnsi="宋体" w:eastAsia="宋体" w:cs="宋体"/>
          <w:color w:val="auto"/>
          <w:sz w:val="24"/>
          <w:szCs w:val="24"/>
          <w:highlight w:val="none"/>
          <w:u w:val="single"/>
          <w:lang w:val="en-US" w:eastAsia="zh-CN"/>
        </w:rPr>
        <w:t xml:space="preserve">  24  </w:t>
      </w:r>
      <w:r>
        <w:rPr>
          <w:rFonts w:hint="eastAsia" w:ascii="宋体" w:hAnsi="宋体" w:eastAsia="宋体" w:cs="宋体"/>
          <w:color w:val="auto"/>
          <w:sz w:val="24"/>
          <w:szCs w:val="24"/>
          <w:highlight w:val="none"/>
          <w:u w:val="none"/>
          <w:lang w:val="en-US" w:eastAsia="zh-CN"/>
        </w:rPr>
        <w:t>个</w:t>
      </w:r>
      <w:r>
        <w:rPr>
          <w:rFonts w:ascii="宋体" w:hAnsi="宋体" w:eastAsia="宋体" w:cs="宋体"/>
          <w:color w:val="auto"/>
          <w:sz w:val="24"/>
          <w:szCs w:val="24"/>
          <w:highlight w:val="none"/>
        </w:rPr>
        <w:t>月。</w:t>
      </w:r>
    </w:p>
    <w:p w14:paraId="4AED7FF8">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 xml:space="preserve"> （3）售后服务应按法律法规和采购文件约定执行，具体如下：</w:t>
      </w:r>
    </w:p>
    <w:p w14:paraId="51412F33">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产品必须达到</w:t>
      </w:r>
      <w:r>
        <w:rPr>
          <w:rFonts w:hint="eastAsia" w:ascii="宋体" w:hAnsi="宋体" w:eastAsia="宋体" w:cs="宋体"/>
          <w:color w:val="auto"/>
          <w:sz w:val="24"/>
          <w:szCs w:val="24"/>
          <w:highlight w:val="none"/>
          <w:lang w:val="en-US" w:eastAsia="zh-CN"/>
        </w:rPr>
        <w:t>相关技术规范及国家</w:t>
      </w:r>
      <w:r>
        <w:rPr>
          <w:rFonts w:hint="eastAsia" w:ascii="宋体" w:hAnsi="宋体" w:eastAsia="宋体" w:cs="宋体"/>
          <w:color w:val="auto"/>
          <w:sz w:val="24"/>
          <w:szCs w:val="24"/>
          <w:highlight w:val="none"/>
          <w:lang w:val="en-US" w:eastAsia="zh-Hans"/>
        </w:rPr>
        <w:t>标准。</w:t>
      </w:r>
    </w:p>
    <w:p w14:paraId="4D139AA7">
      <w:pPr>
        <w:pStyle w:val="24"/>
        <w:keepNext w:val="0"/>
        <w:keepLines w:val="0"/>
        <w:pageBreakBefore w:val="0"/>
        <w:numPr>
          <w:ilvl w:val="0"/>
          <w:numId w:val="0"/>
        </w:numPr>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b/>
          <w:color w:val="auto"/>
          <w:sz w:val="24"/>
          <w:szCs w:val="24"/>
          <w:highlight w:val="none"/>
        </w:rPr>
      </w:pPr>
      <w:r>
        <w:rPr>
          <w:rFonts w:hint="eastAsia" w:ascii="宋体" w:hAnsi="宋体" w:eastAsia="宋体" w:cs="宋体"/>
          <w:color w:val="auto"/>
          <w:sz w:val="24"/>
          <w:szCs w:val="24"/>
          <w:highlight w:val="none"/>
          <w:lang w:val="en-US" w:eastAsia="zh-Hans"/>
        </w:rPr>
        <w:t>质量保证期：货物验收合格后贰年。货物实行“三包”（含大小不符合、质量问题的免费包换）。中标人应在中标后根据采购人要求的时间、地点配送货物，对质量不合格的产品在2个日历日内负责包换，并承担由此产生的包装、运输等一切费用。包换后的货物应送至招标人指定地点。</w:t>
      </w:r>
      <w:r>
        <w:rPr>
          <w:rFonts w:ascii="宋体" w:hAnsi="宋体" w:eastAsia="宋体" w:cs="宋体"/>
          <w:b/>
          <w:color w:val="auto"/>
          <w:sz w:val="24"/>
          <w:szCs w:val="24"/>
          <w:highlight w:val="none"/>
        </w:rPr>
        <w:t xml:space="preserve"> </w:t>
      </w:r>
    </w:p>
    <w:p w14:paraId="38859838">
      <w:pPr>
        <w:pStyle w:val="24"/>
        <w:keepNext w:val="0"/>
        <w:keepLines w:val="0"/>
        <w:pageBreakBefore w:val="0"/>
        <w:numPr>
          <w:ilvl w:val="0"/>
          <w:numId w:val="0"/>
        </w:numPr>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六、安装、验收及退、换货</w:t>
      </w:r>
    </w:p>
    <w:p w14:paraId="07CA4C4D">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6.1安装、验收应按照采购文件、乙方响应文件的规定或约定进行，具体如下：</w:t>
      </w:r>
    </w:p>
    <w:p w14:paraId="5AE1D7F1">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合同签订后，由乙方负责将货物按签订合同的具体数量、具体地点运送到最终目的地。所有设备必须是原厂原装包装。若发现原包装破损或保修条款不满足要求，甲方有权不予接收，并要求乙方无条件免费重新更换。乙方应负责派技术人员到现场进行安装。</w:t>
      </w:r>
    </w:p>
    <w:p w14:paraId="4B914E15">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（3）在安装过程中，如由于乙方原因导致产品损坏，乙方将要负责修理或赔偿损失。</w:t>
      </w:r>
    </w:p>
    <w:p w14:paraId="226A4342">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（4）若安装过程中发生安全事故，造成双方或第三人人员损害或财产损失，乙方应承担全部赔偿责任。</w:t>
      </w:r>
    </w:p>
    <w:p w14:paraId="2BBD5101">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6.2本项目是否邀请其他投标人参与验收：</w:t>
      </w:r>
    </w:p>
    <w:p w14:paraId="12D9CE56">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不邀请。 </w:t>
      </w:r>
    </w:p>
    <w:p w14:paraId="761BB992">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6.3本项目是否邀请专家参与验收：</w:t>
      </w:r>
    </w:p>
    <w:p w14:paraId="7125F19C">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不邀请。 </w:t>
      </w:r>
    </w:p>
    <w:p w14:paraId="29F304A9">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6.4本项目是否邀请国家认可的质量检测机构参与验收：</w:t>
      </w:r>
    </w:p>
    <w:p w14:paraId="6CB4568E">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不邀请。  </w:t>
      </w:r>
    </w:p>
    <w:p w14:paraId="35D1D2AF">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6.5履约验收：</w:t>
      </w:r>
    </w:p>
    <w:p w14:paraId="6004AF7D">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验收标准和验收方法</w:t>
      </w:r>
    </w:p>
    <w:p w14:paraId="325E3850">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验收标准：</w:t>
      </w:r>
      <w:r>
        <w:rPr>
          <w:rFonts w:hint="eastAsia" w:ascii="宋体" w:hAnsi="宋体" w:eastAsia="宋体" w:cs="宋体"/>
          <w:color w:val="auto"/>
          <w:kern w:val="0"/>
          <w:sz w:val="24"/>
          <w:szCs w:val="24"/>
          <w:highlight w:val="none"/>
          <w:shd w:val="clear" w:color="auto" w:fill="FFFFFF"/>
        </w:rPr>
        <w:t>提供的货物必须是全新原装未启封的</w:t>
      </w:r>
      <w:r>
        <w:rPr>
          <w:rFonts w:hint="eastAsia" w:ascii="宋体" w:hAnsi="宋体" w:eastAsia="宋体" w:cs="宋体"/>
          <w:color w:val="auto"/>
          <w:kern w:val="0"/>
          <w:sz w:val="24"/>
          <w:szCs w:val="24"/>
          <w:highlight w:val="none"/>
          <w:shd w:val="clear" w:color="auto" w:fill="FFFFFF"/>
          <w:lang w:eastAsia="zh-CN"/>
        </w:rPr>
        <w:t>货物</w:t>
      </w:r>
      <w:r>
        <w:rPr>
          <w:rFonts w:hint="eastAsia" w:ascii="宋体" w:hAnsi="宋体" w:eastAsia="宋体" w:cs="宋体"/>
          <w:color w:val="auto"/>
          <w:kern w:val="0"/>
          <w:sz w:val="24"/>
          <w:szCs w:val="24"/>
          <w:highlight w:val="none"/>
          <w:shd w:val="clear" w:color="auto" w:fill="FFFFFF"/>
        </w:rPr>
        <w:t>（未经二次销售 ，外观无刮、碰痕迹，并有下列明显标记：名称、品牌型号、制造商标识、产地、出厂日期、生产序列号等），并满足</w:t>
      </w:r>
      <w:r>
        <w:rPr>
          <w:rFonts w:hint="eastAsia" w:ascii="宋体" w:hAnsi="宋体" w:eastAsia="宋体" w:cs="宋体"/>
          <w:color w:val="auto"/>
          <w:kern w:val="0"/>
          <w:sz w:val="24"/>
          <w:szCs w:val="24"/>
          <w:highlight w:val="none"/>
          <w:shd w:val="clear" w:color="auto" w:fill="FFFFFF"/>
          <w:lang w:eastAsia="zh-CN"/>
        </w:rPr>
        <w:t>磋商文件</w:t>
      </w:r>
      <w:r>
        <w:rPr>
          <w:rFonts w:hint="eastAsia" w:ascii="宋体" w:hAnsi="宋体" w:eastAsia="宋体" w:cs="宋体"/>
          <w:color w:val="auto"/>
          <w:kern w:val="0"/>
          <w:sz w:val="24"/>
          <w:szCs w:val="24"/>
          <w:highlight w:val="none"/>
          <w:shd w:val="clear" w:color="auto" w:fill="FFFFFF"/>
        </w:rPr>
        <w:t>提出的各项要求，验收以</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投标文件、</w:t>
      </w:r>
      <w:r>
        <w:rPr>
          <w:rFonts w:hint="eastAsia" w:ascii="宋体" w:hAnsi="宋体" w:eastAsia="宋体" w:cs="宋体"/>
          <w:color w:val="auto"/>
          <w:kern w:val="0"/>
          <w:sz w:val="24"/>
          <w:szCs w:val="24"/>
          <w:highlight w:val="none"/>
          <w:shd w:val="clear" w:color="auto" w:fill="FFFFFF"/>
          <w:lang w:eastAsia="zh-CN"/>
        </w:rPr>
        <w:t>磋商文件</w:t>
      </w:r>
      <w:r>
        <w:rPr>
          <w:rFonts w:hint="eastAsia" w:ascii="宋体" w:hAnsi="宋体" w:eastAsia="宋体" w:cs="宋体"/>
          <w:color w:val="auto"/>
          <w:kern w:val="0"/>
          <w:sz w:val="24"/>
          <w:szCs w:val="24"/>
          <w:highlight w:val="none"/>
          <w:shd w:val="clear" w:color="auto" w:fill="FFFFFF"/>
        </w:rPr>
        <w:t>以及国家或行业标准要求、合同中的相关条款为依据；</w:t>
      </w:r>
    </w:p>
    <w:p w14:paraId="71918BF3">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验收程序：货物验收分为出厂检验、安装</w:t>
      </w:r>
      <w:r>
        <w:rPr>
          <w:rFonts w:hint="eastAsia" w:ascii="宋体" w:hAnsi="宋体" w:eastAsia="宋体" w:cs="宋体"/>
          <w:color w:val="auto"/>
          <w:sz w:val="24"/>
          <w:szCs w:val="24"/>
          <w:highlight w:val="none"/>
          <w:lang w:eastAsia="zh-CN"/>
        </w:rPr>
        <w:t>检验</w:t>
      </w:r>
      <w:r>
        <w:rPr>
          <w:rFonts w:hint="eastAsia" w:ascii="宋体" w:hAnsi="宋体" w:eastAsia="宋体" w:cs="宋体"/>
          <w:color w:val="auto"/>
          <w:sz w:val="24"/>
          <w:szCs w:val="24"/>
          <w:highlight w:val="none"/>
        </w:rPr>
        <w:t>及最终验收。</w:t>
      </w:r>
    </w:p>
    <w:p w14:paraId="4EE895C9">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出厂检验</w:t>
      </w:r>
    </w:p>
    <w:p w14:paraId="233468FD">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货物出厂前，应按产品技术标准规定的检验项目和试验方法进行全面检验，</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kern w:val="0"/>
          <w:sz w:val="24"/>
          <w:szCs w:val="24"/>
          <w:highlight w:val="none"/>
          <w:shd w:val="clear" w:color="auto" w:fill="FFFFFF"/>
        </w:rPr>
        <w:t>应随同货物提供出厂检验报告、产品质量合格证，保证货物原厂地和技术指标的真实性、完整性，并负责将货物送达</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指 定的供货地点。</w:t>
      </w:r>
    </w:p>
    <w:p w14:paraId="2ED2E18F">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安装检验</w:t>
      </w:r>
    </w:p>
    <w:p w14:paraId="7029A778">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货物</w:t>
      </w:r>
      <w:r>
        <w:rPr>
          <w:rFonts w:hint="eastAsia" w:ascii="宋体" w:hAnsi="宋体" w:eastAsia="宋体" w:cs="宋体"/>
          <w:color w:val="auto"/>
          <w:sz w:val="24"/>
          <w:szCs w:val="24"/>
          <w:highlight w:val="none"/>
        </w:rPr>
        <w:t>安装过程，</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应作详细检验记录。安装检验结果应符合制造厂产品标准和</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的规定。</w:t>
      </w:r>
    </w:p>
    <w:p w14:paraId="4A60ABC6">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最终验收</w:t>
      </w:r>
    </w:p>
    <w:p w14:paraId="51CD9A64">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货物</w:t>
      </w:r>
      <w:r>
        <w:rPr>
          <w:rFonts w:hint="eastAsia" w:ascii="宋体" w:hAnsi="宋体" w:eastAsia="宋体" w:cs="宋体"/>
          <w:color w:val="auto"/>
          <w:sz w:val="24"/>
          <w:szCs w:val="24"/>
          <w:highlight w:val="none"/>
        </w:rPr>
        <w:t>安装、调试结束后，</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将按照招投标文件、合同条款及采购合同规定的技术、服务、安全标准组织对</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kern w:val="0"/>
          <w:sz w:val="24"/>
          <w:szCs w:val="24"/>
          <w:highlight w:val="none"/>
        </w:rPr>
        <w:t>履约情况进行最终验收</w:t>
      </w:r>
      <w:r>
        <w:rPr>
          <w:rFonts w:hint="eastAsia" w:ascii="宋体" w:hAnsi="宋体" w:eastAsia="宋体" w:cs="宋体"/>
          <w:color w:val="auto"/>
          <w:sz w:val="24"/>
          <w:szCs w:val="24"/>
          <w:highlight w:val="none"/>
        </w:rPr>
        <w:t>，验收结果应符合</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使用要求。验收结果如发现</w:t>
      </w:r>
      <w:r>
        <w:rPr>
          <w:rFonts w:hint="eastAsia" w:ascii="宋体" w:hAnsi="宋体" w:eastAsia="宋体" w:cs="宋体"/>
          <w:color w:val="auto"/>
          <w:sz w:val="24"/>
          <w:szCs w:val="24"/>
          <w:highlight w:val="none"/>
          <w:lang w:eastAsia="zh-CN"/>
        </w:rPr>
        <w:t>货物</w:t>
      </w:r>
      <w:r>
        <w:rPr>
          <w:rFonts w:hint="eastAsia" w:ascii="宋体" w:hAnsi="宋体" w:eastAsia="宋体" w:cs="宋体"/>
          <w:color w:val="auto"/>
          <w:sz w:val="24"/>
          <w:szCs w:val="24"/>
          <w:highlight w:val="none"/>
        </w:rPr>
        <w:t>与合同规定不符，</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有权拒绝接受并向</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提出索赔。如货物在质量保证期内被证明存在缺陷，包括潜在的缺陷或使用不合适的材料，</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有权凭有关证明文件向</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提出索赔。</w:t>
      </w:r>
    </w:p>
    <w:p w14:paraId="239DA312">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验收所发生的一切费用由</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承担。</w:t>
      </w:r>
    </w:p>
    <w:p w14:paraId="659E0787">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kern w:val="0"/>
          <w:sz w:val="24"/>
          <w:szCs w:val="24"/>
          <w:highlight w:val="none"/>
          <w:shd w:val="clear" w:color="auto" w:fill="FFFFFF"/>
        </w:rPr>
        <w:t>如</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kern w:val="0"/>
          <w:sz w:val="24"/>
          <w:szCs w:val="24"/>
          <w:highlight w:val="none"/>
          <w:shd w:val="clear" w:color="auto" w:fill="FFFFFF"/>
        </w:rPr>
        <w:t>提供的货物存在技术缺陷或事故隐患造成</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或任何第三方人身、财产损害的，</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应当对该损害承担全部法律责任。如造成</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损失的，</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还应当赔偿</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的全部损失。</w:t>
      </w:r>
    </w:p>
    <w:p w14:paraId="0EF5A215">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6.6退、换货：</w:t>
      </w:r>
      <w:r>
        <w:rPr>
          <w:rFonts w:hint="eastAsia" w:ascii="宋体" w:hAnsi="宋体" w:eastAsia="宋体" w:cs="宋体"/>
          <w:color w:val="auto"/>
          <w:kern w:val="0"/>
          <w:sz w:val="24"/>
          <w:szCs w:val="24"/>
          <w:highlight w:val="none"/>
          <w:shd w:val="clear" w:color="auto" w:fill="FFFFFF"/>
        </w:rPr>
        <w:t>在验收期间，若发现产品质量有问题</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应无条件免费更换，并无条件重新</w:t>
      </w:r>
      <w:r>
        <w:rPr>
          <w:rFonts w:hint="eastAsia" w:ascii="宋体" w:hAnsi="宋体" w:eastAsia="宋体" w:cs="宋体"/>
          <w:color w:val="auto"/>
          <w:kern w:val="0"/>
          <w:sz w:val="24"/>
          <w:szCs w:val="24"/>
          <w:highlight w:val="none"/>
          <w:shd w:val="clear" w:color="auto" w:fill="FFFFFF"/>
          <w:lang w:eastAsia="zh-CN"/>
        </w:rPr>
        <w:t>安装</w:t>
      </w:r>
      <w:r>
        <w:rPr>
          <w:rFonts w:hint="eastAsia" w:ascii="宋体" w:hAnsi="宋体" w:eastAsia="宋体" w:cs="宋体"/>
          <w:color w:val="auto"/>
          <w:kern w:val="0"/>
          <w:sz w:val="24"/>
          <w:szCs w:val="24"/>
          <w:highlight w:val="none"/>
          <w:shd w:val="clear" w:color="auto" w:fill="FFFFFF"/>
        </w:rPr>
        <w:t>直至验收合格交付使用。如</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对上述</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提出修理、更换的要求有异议，应在接到</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书面通知后三日内提出，并书面通知</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，否则上述要求即告成立。如有异议，</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应在接到通知后七日内，自费派代表赴现场同</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代表共同复验。</w:t>
      </w:r>
    </w:p>
    <w:p w14:paraId="0DDB8649">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6.7其他：</w:t>
      </w:r>
      <w:r>
        <w:rPr>
          <w:rFonts w:hint="eastAsia" w:ascii="宋体" w:hAnsi="宋体" w:eastAsia="宋体" w:cs="宋体"/>
          <w:color w:val="auto"/>
          <w:sz w:val="24"/>
          <w:szCs w:val="24"/>
          <w:highlight w:val="none"/>
          <w:lang w:val="en-US" w:eastAsia="zh-CN"/>
        </w:rPr>
        <w:t>/</w:t>
      </w:r>
    </w:p>
    <w:p w14:paraId="70E36AC7">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both"/>
        <w:textAlignment w:val="auto"/>
        <w:rPr>
          <w:rFonts w:hint="eastAsia" w:ascii="宋体" w:hAnsi="宋体" w:eastAsia="宋体" w:cs="宋体"/>
          <w:color w:val="auto"/>
          <w:sz w:val="24"/>
          <w:szCs w:val="24"/>
          <w:highlight w:val="none"/>
          <w:lang w:val="en-US" w:eastAsia="zh-CN"/>
        </w:rPr>
      </w:pPr>
      <w:r>
        <w:rPr>
          <w:rFonts w:ascii="宋体" w:hAnsi="宋体" w:eastAsia="宋体" w:cs="宋体"/>
          <w:b/>
          <w:color w:val="auto"/>
          <w:sz w:val="24"/>
          <w:szCs w:val="24"/>
          <w:highlight w:val="none"/>
        </w:rPr>
        <w:t xml:space="preserve"> 七、资金支付方式、条件和时间</w:t>
      </w:r>
    </w:p>
    <w:p w14:paraId="69F6ECE1">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1、预留合同金额的3%作为质保金，待验收合格满两年后付清。</w:t>
      </w:r>
    </w:p>
    <w:p w14:paraId="5F6D1553">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2、甲方付款前，乙方应提供等额有效的税收发票。</w:t>
      </w:r>
    </w:p>
    <w:p w14:paraId="31DD3850">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注：合同款项由新南公司保障性租赁住房项目贷款中列支。</w:t>
      </w:r>
    </w:p>
    <w:p w14:paraId="5867C2CD">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八、履约保证金</w:t>
      </w:r>
    </w:p>
    <w:p w14:paraId="7B4090CC">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□有，□无。具体如下违约：（按照采购文件规定填写）。</w:t>
      </w:r>
    </w:p>
    <w:p w14:paraId="4674A234">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8.1乙方向甲方缴纳人民币 元（大写： ）作为本合同的履约保证金。</w:t>
      </w:r>
    </w:p>
    <w:p w14:paraId="1BFE76FE">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8.2履约保证金缴纳形式：支票/汇票/电汇/保函等非现金形式。</w:t>
      </w:r>
    </w:p>
    <w:p w14:paraId="2BB2C00B">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8.3履约保证金退还： （根据实际情况填写） 。</w:t>
      </w:r>
    </w:p>
    <w:p w14:paraId="01412A6D">
      <w:pPr>
        <w:pStyle w:val="24"/>
        <w:keepNext w:val="0"/>
        <w:keepLines w:val="0"/>
        <w:pageBreakBefore w:val="0"/>
        <w:kinsoku/>
        <w:wordWrap/>
        <w:overflowPunct/>
        <w:topLinePunct w:val="0"/>
        <w:autoSpaceDE/>
        <w:autoSpaceDN/>
        <w:bidi w:val="0"/>
        <w:adjustRightInd/>
        <w:snapToGrid/>
        <w:spacing w:line="240" w:lineRule="auto"/>
        <w:ind w:left="420" w:leftChars="200" w:firstLine="0" w:firstLineChars="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九、合同期限</w:t>
      </w:r>
      <w:r>
        <w:rPr>
          <w:rFonts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lang w:eastAsia="zh-CN"/>
        </w:rPr>
        <w:t>从合同签订之日起至保修期满后结束。</w:t>
      </w:r>
    </w:p>
    <w:p w14:paraId="53FC8F1A">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十、违约责任</w:t>
      </w:r>
    </w:p>
    <w:p w14:paraId="73B902FE">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10.1甲方违约责任</w:t>
      </w:r>
    </w:p>
    <w:p w14:paraId="6F22F87F">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（1）甲方无正当理由拒收乙方交付的合格产品的，甲方向乙方偿付拒收货款总值</w:t>
      </w:r>
      <w:r>
        <w:rPr>
          <w:rFonts w:hint="eastAsia" w:ascii="宋体" w:hAnsi="宋体" w:eastAsia="宋体" w:cs="宋体"/>
          <w:color w:val="auto"/>
          <w:sz w:val="24"/>
          <w:szCs w:val="24"/>
          <w:highlight w:val="none"/>
          <w:u w:val="single"/>
          <w:lang w:val="en-US" w:eastAsia="zh-CN"/>
        </w:rPr>
        <w:t xml:space="preserve">  / </w:t>
      </w:r>
      <w:r>
        <w:rPr>
          <w:rFonts w:ascii="宋体" w:hAnsi="宋体" w:eastAsia="宋体" w:cs="宋体"/>
          <w:color w:val="auto"/>
          <w:sz w:val="24"/>
          <w:szCs w:val="24"/>
          <w:highlight w:val="none"/>
        </w:rPr>
        <w:t>的违约金</w:t>
      </w:r>
      <w:r>
        <w:rPr>
          <w:rFonts w:hint="eastAsia" w:ascii="宋体" w:hAnsi="宋体" w:eastAsia="宋体" w:cs="宋体"/>
          <w:color w:val="auto"/>
          <w:sz w:val="24"/>
          <w:szCs w:val="24"/>
          <w:highlight w:val="none"/>
          <w:lang w:eastAsia="zh-CN"/>
        </w:rPr>
        <w:t>。</w:t>
      </w:r>
    </w:p>
    <w:p w14:paraId="2386D4D1">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（2）甲方无故逾期验收和办理合同款项支付手续的,甲方应按逾期付款总额每日</w:t>
      </w:r>
      <w:r>
        <w:rPr>
          <w:rFonts w:hint="eastAsia" w:ascii="宋体" w:hAnsi="宋体" w:eastAsia="宋体" w:cs="宋体"/>
          <w:color w:val="auto"/>
          <w:sz w:val="24"/>
          <w:szCs w:val="24"/>
          <w:highlight w:val="none"/>
          <w:u w:val="single"/>
          <w:lang w:val="en-US" w:eastAsia="zh-CN"/>
        </w:rPr>
        <w:t xml:space="preserve">  / </w:t>
      </w:r>
      <w:r>
        <w:rPr>
          <w:rFonts w:ascii="宋体" w:hAnsi="宋体" w:eastAsia="宋体" w:cs="宋体"/>
          <w:color w:val="auto"/>
          <w:sz w:val="24"/>
          <w:szCs w:val="24"/>
          <w:highlight w:val="none"/>
        </w:rPr>
        <w:t>向乙方支付违约金。</w:t>
      </w:r>
    </w:p>
    <w:p w14:paraId="6B49B37A">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u w:val="none"/>
          <w:lang w:val="en-US" w:eastAsia="zh-CN"/>
        </w:rPr>
      </w:pPr>
      <w:r>
        <w:rPr>
          <w:rFonts w:ascii="宋体" w:hAnsi="宋体" w:eastAsia="宋体" w:cs="宋体"/>
          <w:color w:val="auto"/>
          <w:sz w:val="24"/>
          <w:szCs w:val="24"/>
          <w:highlight w:val="none"/>
        </w:rPr>
        <w:t>（3）其他违约情形</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 xml:space="preserve"> 。</w:t>
      </w:r>
    </w:p>
    <w:p w14:paraId="3A6E9988">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10.2乙方违约责任</w:t>
      </w:r>
    </w:p>
    <w:p w14:paraId="122B9322">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color w:val="auto"/>
          <w:kern w:val="0"/>
          <w:sz w:val="24"/>
          <w:szCs w:val="24"/>
          <w:highlight w:val="none"/>
        </w:rPr>
      </w:pPr>
      <w:r>
        <w:rPr>
          <w:rFonts w:ascii="宋体" w:hAnsi="宋体" w:eastAsia="宋体" w:cs="宋体"/>
          <w:color w:val="auto"/>
          <w:sz w:val="24"/>
          <w:szCs w:val="24"/>
          <w:highlight w:val="none"/>
        </w:rPr>
        <w:t>（1）乙方逾期履行服务的，乙方应按每日</w:t>
      </w:r>
      <w:r>
        <w:rPr>
          <w:rFonts w:hint="eastAsia" w:ascii="宋体" w:hAnsi="宋体" w:eastAsia="宋体" w:cs="宋体"/>
          <w:color w:val="auto"/>
          <w:sz w:val="24"/>
          <w:szCs w:val="24"/>
          <w:highlight w:val="none"/>
          <w:u w:val="single"/>
          <w:lang w:val="en-US" w:eastAsia="zh-CN"/>
        </w:rPr>
        <w:t xml:space="preserve"> 1000元</w:t>
      </w:r>
      <w:r>
        <w:rPr>
          <w:rFonts w:ascii="宋体" w:hAnsi="宋体" w:eastAsia="宋体" w:cs="宋体"/>
          <w:color w:val="auto"/>
          <w:sz w:val="24"/>
          <w:szCs w:val="24"/>
          <w:highlight w:val="none"/>
        </w:rPr>
        <w:t>向甲方支付违约金，由甲方从待付货款中扣除。乙方无正当理由逾期超过约定日期</w:t>
      </w:r>
      <w:r>
        <w:rPr>
          <w:rFonts w:hint="eastAsia" w:ascii="宋体" w:hAnsi="宋体" w:eastAsia="宋体" w:cs="宋体"/>
          <w:color w:val="auto"/>
          <w:sz w:val="24"/>
          <w:szCs w:val="24"/>
          <w:highlight w:val="none"/>
          <w:u w:val="single"/>
          <w:lang w:val="en-US" w:eastAsia="zh-CN"/>
        </w:rPr>
        <w:t xml:space="preserve"> 5 天</w:t>
      </w:r>
      <w:r>
        <w:rPr>
          <w:rFonts w:ascii="宋体" w:hAnsi="宋体" w:eastAsia="宋体" w:cs="宋体"/>
          <w:color w:val="auto"/>
          <w:sz w:val="24"/>
          <w:szCs w:val="24"/>
          <w:highlight w:val="none"/>
        </w:rPr>
        <w:t>仍不能交付的，</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有权单方解除采购合同，</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仍应按上述约定支付延期交货违约金。若因此给</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造成损失的，</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还应赔偿</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所受的全部损失。</w:t>
      </w:r>
    </w:p>
    <w:p w14:paraId="5307FAEC">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（2）乙方所交付的产品不符合合同规定及《采购文件》规定标准的，甲方有权拒收，乙方愿意更换产品但逾期交货的，按乙方逾期交货处理。</w:t>
      </w:r>
    </w:p>
    <w:p w14:paraId="235AD062">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（3）乙方不按合同约定履约的，甲方可以解除采购合同，并对乙方已缴纳的履约保证金作“不予退还”处理。</w:t>
      </w:r>
    </w:p>
    <w:p w14:paraId="18EC1650">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（4）其他违约情形</w:t>
      </w:r>
    </w:p>
    <w:p w14:paraId="5D155934">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所交付的货物品种、型号、规格、数量、质量等不符合合同规定标准的，</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有权拒绝部分或全部货物，</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应向</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偿付被拒货物货款的30%的违约金。</w:t>
      </w:r>
    </w:p>
    <w:p w14:paraId="01BBD88C">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若</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不能交货的，</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应按货款的30％向</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支付违约金。若因此给</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造成损失的，</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还应赔偿</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所受的全部损失。</w:t>
      </w:r>
    </w:p>
    <w:p w14:paraId="5AA22262">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若</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所供货物在保修期头三个月内出现货物质量问题，</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有权要求无条件免费更换全部</w:t>
      </w:r>
      <w:r>
        <w:rPr>
          <w:rFonts w:hint="eastAsia" w:ascii="宋体" w:hAnsi="宋体" w:eastAsia="宋体" w:cs="宋体"/>
          <w:color w:val="auto"/>
          <w:kern w:val="0"/>
          <w:sz w:val="24"/>
          <w:szCs w:val="24"/>
          <w:highlight w:val="none"/>
          <w:shd w:val="clear" w:color="auto" w:fill="FFFFFF"/>
          <w:lang w:eastAsia="zh-CN"/>
        </w:rPr>
        <w:t>货物</w:t>
      </w:r>
      <w:r>
        <w:rPr>
          <w:rFonts w:hint="eastAsia" w:ascii="宋体" w:hAnsi="宋体" w:eastAsia="宋体" w:cs="宋体"/>
          <w:color w:val="auto"/>
          <w:kern w:val="0"/>
          <w:sz w:val="24"/>
          <w:szCs w:val="24"/>
          <w:highlight w:val="none"/>
          <w:shd w:val="clear" w:color="auto" w:fill="FFFFFF"/>
        </w:rPr>
        <w:t>，并有权要求</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赔偿</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交易价30%的违约金。</w:t>
      </w:r>
    </w:p>
    <w:p w14:paraId="597CFC39">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依据合同规定</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提出换货的，</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应在收到</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通知之日起30天内无条件更换至合格，换货所产生的费用由</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自行承担；若更换后的产品还存在质量问题，</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有权单方终止</w:t>
      </w:r>
      <w:r>
        <w:rPr>
          <w:rFonts w:hint="eastAsia" w:ascii="宋体" w:hAnsi="宋体" w:eastAsia="宋体" w:cs="宋体"/>
          <w:color w:val="auto"/>
          <w:kern w:val="0"/>
          <w:sz w:val="24"/>
          <w:szCs w:val="24"/>
          <w:highlight w:val="none"/>
          <w:shd w:val="clear" w:color="auto" w:fill="FFFFFF"/>
          <w:lang w:eastAsia="zh-CN"/>
        </w:rPr>
        <w:t>采购合同</w:t>
      </w:r>
      <w:r>
        <w:rPr>
          <w:rFonts w:hint="eastAsia" w:ascii="宋体" w:hAnsi="宋体" w:eastAsia="宋体" w:cs="宋体"/>
          <w:color w:val="auto"/>
          <w:kern w:val="0"/>
          <w:sz w:val="24"/>
          <w:szCs w:val="24"/>
          <w:highlight w:val="none"/>
          <w:shd w:val="clear" w:color="auto" w:fill="FFFFFF"/>
        </w:rPr>
        <w:t>，并要求</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全额退还货款且</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应向</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支付货款的30%的违约金，违约金不足以补偿</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损失的，</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有权要求</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继续对不足部分予以赔偿。</w:t>
      </w:r>
    </w:p>
    <w:p w14:paraId="5C83906F">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未按约定履行维修义务的，</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有权要求</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支付违约金500元/次，并有权另请第三人代为维修，因此产生的费用由</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承担；若以上情形累计超过 3 次的，</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有权解除</w:t>
      </w:r>
      <w:r>
        <w:rPr>
          <w:rFonts w:hint="eastAsia" w:ascii="宋体" w:hAnsi="宋体" w:eastAsia="宋体" w:cs="宋体"/>
          <w:color w:val="auto"/>
          <w:kern w:val="0"/>
          <w:sz w:val="24"/>
          <w:szCs w:val="24"/>
          <w:highlight w:val="none"/>
          <w:shd w:val="clear" w:color="auto" w:fill="FFFFFF"/>
          <w:lang w:eastAsia="zh-CN"/>
        </w:rPr>
        <w:t>采购合同</w:t>
      </w:r>
      <w:r>
        <w:rPr>
          <w:rFonts w:hint="eastAsia" w:ascii="宋体" w:hAnsi="宋体" w:eastAsia="宋体" w:cs="宋体"/>
          <w:color w:val="auto"/>
          <w:kern w:val="0"/>
          <w:sz w:val="24"/>
          <w:szCs w:val="24"/>
          <w:highlight w:val="none"/>
          <w:shd w:val="clear" w:color="auto" w:fill="FFFFFF"/>
        </w:rPr>
        <w:t>。</w:t>
      </w:r>
    </w:p>
    <w:p w14:paraId="31C39644">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因</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违约给</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造成损失的，</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有权直接从未付的合同货款中扣除违约金，若违约金不足以补偿</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损失的，</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有权要求</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继续对不足部分予以赔偿。</w:t>
      </w:r>
    </w:p>
    <w:p w14:paraId="1DCBB82C">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kern w:val="0"/>
          <w:sz w:val="24"/>
          <w:szCs w:val="24"/>
          <w:highlight w:val="none"/>
        </w:rPr>
      </w:pPr>
      <w:bookmarkStart w:id="8" w:name="_Hlk106374726"/>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违反本合同约定或法律规定的，应当赔偿给</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造成的全部损失，包括但不限于直接损失、预期利益损失、</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向第三方支付的违约金、赔偿金及</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为索赔支出的诉讼费、律师费、公证费、保全费、担保费、鉴定费、评估费等全部费用。</w:t>
      </w:r>
      <w:bookmarkEnd w:id="8"/>
    </w:p>
    <w:p w14:paraId="1CB27940">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违约终止合同：</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存在下述任何一种违约行为，在</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发出违约通知后30天内(或经</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书面确认的更长时间内)仍未纠正的，</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有权单方终止</w:t>
      </w:r>
      <w:r>
        <w:rPr>
          <w:rFonts w:hint="eastAsia" w:ascii="宋体" w:hAnsi="宋体" w:eastAsia="宋体" w:cs="宋体"/>
          <w:color w:val="auto"/>
          <w:kern w:val="0"/>
          <w:sz w:val="24"/>
          <w:szCs w:val="24"/>
          <w:highlight w:val="none"/>
          <w:lang w:eastAsia="zh-CN"/>
        </w:rPr>
        <w:t>采购合同</w:t>
      </w:r>
      <w:r>
        <w:rPr>
          <w:rFonts w:hint="eastAsia" w:ascii="宋体" w:hAnsi="宋体" w:eastAsia="宋体" w:cs="宋体"/>
          <w:color w:val="auto"/>
          <w:kern w:val="0"/>
          <w:sz w:val="24"/>
          <w:szCs w:val="24"/>
          <w:highlight w:val="none"/>
        </w:rPr>
        <w:t>。</w:t>
      </w:r>
    </w:p>
    <w:p w14:paraId="29049A6B">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如果</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未能在</w:t>
      </w:r>
      <w:r>
        <w:rPr>
          <w:rFonts w:hint="eastAsia" w:ascii="宋体" w:hAnsi="宋体" w:eastAsia="宋体" w:cs="宋体"/>
          <w:color w:val="auto"/>
          <w:kern w:val="0"/>
          <w:sz w:val="24"/>
          <w:szCs w:val="24"/>
          <w:highlight w:val="none"/>
          <w:lang w:eastAsia="zh-CN"/>
        </w:rPr>
        <w:t>采购合同</w:t>
      </w:r>
      <w:r>
        <w:rPr>
          <w:rFonts w:hint="eastAsia" w:ascii="宋体" w:hAnsi="宋体" w:eastAsia="宋体" w:cs="宋体"/>
          <w:color w:val="auto"/>
          <w:kern w:val="0"/>
          <w:sz w:val="24"/>
          <w:szCs w:val="24"/>
          <w:highlight w:val="none"/>
        </w:rPr>
        <w:t>规定的期限内或双方另行确定的延期交货时间内交付合同约定的货物。</w:t>
      </w:r>
    </w:p>
    <w:p w14:paraId="47B99FA5">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未能履行</w:t>
      </w:r>
      <w:r>
        <w:rPr>
          <w:rFonts w:hint="eastAsia" w:ascii="宋体" w:hAnsi="宋体" w:eastAsia="宋体" w:cs="宋体"/>
          <w:color w:val="auto"/>
          <w:kern w:val="0"/>
          <w:sz w:val="24"/>
          <w:szCs w:val="24"/>
          <w:highlight w:val="none"/>
          <w:lang w:eastAsia="zh-CN"/>
        </w:rPr>
        <w:t>采购合同</w:t>
      </w:r>
      <w:r>
        <w:rPr>
          <w:rFonts w:hint="eastAsia" w:ascii="宋体" w:hAnsi="宋体" w:eastAsia="宋体" w:cs="宋体"/>
          <w:color w:val="auto"/>
          <w:kern w:val="0"/>
          <w:sz w:val="24"/>
          <w:szCs w:val="24"/>
          <w:highlight w:val="none"/>
        </w:rPr>
        <w:t>项下的任何其他义务。</w:t>
      </w:r>
    </w:p>
    <w:p w14:paraId="757A62DC">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kern w:val="0"/>
          <w:sz w:val="24"/>
          <w:szCs w:val="24"/>
          <w:highlight w:val="none"/>
        </w:rPr>
      </w:pPr>
      <w:bookmarkStart w:id="9" w:name="_Hlk106374818"/>
      <w:r>
        <w:rPr>
          <w:rFonts w:hint="eastAsia" w:ascii="宋体" w:hAnsi="宋体" w:eastAsia="宋体" w:cs="宋体"/>
          <w:color w:val="auto"/>
          <w:kern w:val="0"/>
          <w:sz w:val="24"/>
          <w:szCs w:val="24"/>
          <w:highlight w:val="none"/>
        </w:rPr>
        <w:t>在签订合同之后，</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要求解除合同的，视为</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违约，对</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造成的损失的，</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需支付相应的赔偿。</w:t>
      </w:r>
    </w:p>
    <w:p w14:paraId="6585D2DE">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按本项目合同约定</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选择解除合同的，自</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解除合同的书面通知送达</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之日起合同解除，</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应赔偿由此给</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造成的全部损失。</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不支付</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任何费用，</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对解除合同有异议的异议期为7日。</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应当在合同解除后5日内退还</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支付的所有费用（如有），自费运回所交付的货物。</w:t>
      </w:r>
      <w:bookmarkEnd w:id="9"/>
    </w:p>
    <w:p w14:paraId="11248C0E">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rPr>
        <w:t>在明确违约责任后，</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应在接到书面通知书起7天内支付违约金、赔偿金等。</w:t>
      </w:r>
    </w:p>
    <w:p w14:paraId="08E10E45">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十一、不可抗力事件处理</w:t>
      </w:r>
    </w:p>
    <w:p w14:paraId="1E33547E">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55F27B52">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十二、保密条款</w:t>
      </w:r>
    </w:p>
    <w:p w14:paraId="1EBFB1D0">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12.1对于在采购和合同履行过程中所获悉的属于保密的内容，甲、乙双方均负有保密义务。</w:t>
      </w:r>
    </w:p>
    <w:p w14:paraId="0FC84D81">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12.2其他</w:t>
      </w:r>
    </w:p>
    <w:p w14:paraId="33DCE0F1">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无。</w:t>
      </w:r>
    </w:p>
    <w:p w14:paraId="5642A788">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十三、解决争议的方法</w:t>
      </w:r>
    </w:p>
    <w:p w14:paraId="092E2DC4">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13.1甲、乙双方协商解决。</w:t>
      </w:r>
    </w:p>
    <w:p w14:paraId="065B6992">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13.2若协商解决不成，双方明确按以下第</w:t>
      </w:r>
      <w:r>
        <w:rPr>
          <w:rFonts w:hint="eastAsia" w:ascii="宋体" w:hAnsi="宋体" w:eastAsia="宋体" w:cs="宋体"/>
          <w:color w:val="auto"/>
          <w:sz w:val="24"/>
          <w:szCs w:val="24"/>
          <w:highlight w:val="none"/>
          <w:u w:val="single"/>
          <w:lang w:val="en-US" w:eastAsia="zh-CN"/>
        </w:rPr>
        <w:t xml:space="preserve"> 2 </w:t>
      </w:r>
      <w:r>
        <w:rPr>
          <w:rFonts w:ascii="宋体" w:hAnsi="宋体" w:eastAsia="宋体" w:cs="宋体"/>
          <w:color w:val="auto"/>
          <w:sz w:val="24"/>
          <w:szCs w:val="24"/>
          <w:highlight w:val="none"/>
        </w:rPr>
        <w:t>方式解决：</w:t>
      </w:r>
    </w:p>
    <w:p w14:paraId="4A1FDB06">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u w:val="none"/>
          <w:lang w:val="en-US" w:eastAsia="zh-CN"/>
        </w:rPr>
      </w:pPr>
      <w:r>
        <w:rPr>
          <w:rFonts w:ascii="宋体" w:hAnsi="宋体" w:eastAsia="宋体" w:cs="宋体"/>
          <w:color w:val="auto"/>
          <w:sz w:val="24"/>
          <w:szCs w:val="24"/>
          <w:highlight w:val="none"/>
        </w:rPr>
        <w:t xml:space="preserve"> 1、提交仲裁委员会仲裁，具体如下：</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2A2F1CDA">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2、向人民法院提起诉讼，具体如下：</w:t>
      </w:r>
      <w:r>
        <w:rPr>
          <w:rFonts w:hint="eastAsia" w:ascii="宋体" w:hAnsi="宋体" w:eastAsia="宋体" w:cs="宋体"/>
          <w:sz w:val="24"/>
          <w:szCs w:val="24"/>
          <w:u w:val="single"/>
        </w:rPr>
        <w:t>向</w:t>
      </w:r>
      <w:r>
        <w:rPr>
          <w:rFonts w:hint="eastAsia" w:ascii="宋体" w:hAnsi="宋体" w:eastAsia="宋体" w:cs="宋体"/>
          <w:sz w:val="24"/>
          <w:szCs w:val="24"/>
          <w:u w:val="single"/>
          <w:lang w:eastAsia="zh-CN"/>
        </w:rPr>
        <w:t>甲方所在地</w:t>
      </w:r>
      <w:r>
        <w:rPr>
          <w:rFonts w:hint="eastAsia" w:ascii="宋体" w:hAnsi="宋体" w:eastAsia="宋体" w:cs="宋体"/>
          <w:sz w:val="24"/>
          <w:szCs w:val="24"/>
          <w:u w:val="single"/>
        </w:rPr>
        <w:t>的人民法院提起诉讼</w:t>
      </w:r>
      <w:r>
        <w:rPr>
          <w:rFonts w:hint="eastAsia" w:ascii="宋体" w:hAnsi="宋体" w:eastAsia="宋体" w:cs="宋体"/>
          <w:sz w:val="24"/>
          <w:szCs w:val="24"/>
        </w:rPr>
        <w:t>。</w:t>
      </w:r>
    </w:p>
    <w:p w14:paraId="5EC85CB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82" w:leftChars="0" w:hanging="482" w:hangingChars="200"/>
        <w:textAlignment w:val="auto"/>
        <w:outlineLvl w:val="3"/>
        <w:rPr>
          <w:rFonts w:ascii="宋体" w:hAnsi="宋体" w:eastAsia="宋体" w:cs="宋体"/>
          <w:b/>
          <w:color w:val="auto"/>
          <w:sz w:val="24"/>
          <w:szCs w:val="24"/>
          <w:highlight w:val="none"/>
        </w:rPr>
      </w:pPr>
      <w:r>
        <w:rPr>
          <w:rFonts w:ascii="宋体" w:hAnsi="宋体" w:eastAsia="宋体" w:cs="宋体"/>
          <w:b/>
          <w:color w:val="auto"/>
          <w:sz w:val="24"/>
          <w:szCs w:val="24"/>
          <w:highlight w:val="none"/>
        </w:rPr>
        <w:t xml:space="preserve"> </w:t>
      </w:r>
      <w:r>
        <w:rPr>
          <w:rFonts w:hint="eastAsia" w:ascii="宋体" w:hAnsi="宋体" w:eastAsia="宋体" w:cs="宋体"/>
          <w:b/>
          <w:color w:val="auto"/>
          <w:sz w:val="24"/>
          <w:szCs w:val="24"/>
          <w:highlight w:val="none"/>
          <w:lang w:val="en-US" w:eastAsia="zh-CN"/>
        </w:rPr>
        <w:t xml:space="preserve">    </w:t>
      </w:r>
      <w:r>
        <w:rPr>
          <w:rFonts w:ascii="宋体" w:hAnsi="宋体" w:eastAsia="宋体" w:cs="宋体"/>
          <w:b/>
          <w:color w:val="auto"/>
          <w:sz w:val="24"/>
          <w:szCs w:val="24"/>
          <w:highlight w:val="none"/>
        </w:rPr>
        <w:t>十四、合同其他条款</w:t>
      </w:r>
    </w:p>
    <w:p w14:paraId="63718AF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outlineLvl w:val="3"/>
        <w:rPr>
          <w:rFonts w:hint="default" w:ascii="宋体" w:hAnsi="宋体" w:eastAsia="宋体" w:cs="宋体"/>
          <w:color w:val="auto"/>
          <w:sz w:val="24"/>
          <w:szCs w:val="24"/>
          <w:highlight w:val="none"/>
        </w:rPr>
      </w:pPr>
      <w:r>
        <w:rPr>
          <w:rFonts w:hint="eastAsia" w:asciiTheme="minorEastAsia" w:hAnsiTheme="minorEastAsia" w:eastAsiaTheme="minorEastAsia" w:cstheme="minorEastAsia"/>
          <w:b w:val="0"/>
          <w:bCs/>
          <w:color w:val="auto"/>
          <w:kern w:val="0"/>
          <w:sz w:val="24"/>
          <w:szCs w:val="24"/>
          <w:lang w:val="en-US" w:eastAsia="zh-CN" w:bidi="ar-SA"/>
        </w:rPr>
        <w:t>从供货到乙方安装合格并移交给甲方止，保管责任由乙方承担，可能发生的毁损、灭失或丢失的风险全部由乙方承担。</w:t>
      </w:r>
    </w:p>
    <w:p w14:paraId="1E618D23">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十五、其他约定</w:t>
      </w:r>
    </w:p>
    <w:p w14:paraId="48C08A85">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15.1合同文件与本合同具有同等法律效力。</w:t>
      </w:r>
    </w:p>
    <w:p w14:paraId="1BE4FDCF">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15.2合同生效：合同经双方法定代表人或委托代理人签字并加盖单位公章后生效。</w:t>
      </w:r>
    </w:p>
    <w:p w14:paraId="10A44927">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15.3本合同未尽事宜，遵照《中华人民共和国民法典》有关条文执行。</w:t>
      </w:r>
    </w:p>
    <w:p w14:paraId="36B8A8C1">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15.4本合同正本一式</w:t>
      </w:r>
      <w:r>
        <w:rPr>
          <w:rFonts w:hint="eastAsia" w:eastAsia="宋体" w:asciiTheme="minorEastAsia" w:hAnsiTheme="minorEastAsia" w:cstheme="minorEastAsia"/>
          <w:bCs/>
          <w:color w:val="auto"/>
          <w:sz w:val="24"/>
          <w:szCs w:val="24"/>
          <w:u w:val="single"/>
          <w:lang w:val="en-US" w:eastAsia="zh-CN"/>
        </w:rPr>
        <w:t xml:space="preserve">  贰  </w:t>
      </w:r>
      <w:r>
        <w:rPr>
          <w:rFonts w:ascii="宋体" w:hAnsi="宋体" w:eastAsia="宋体" w:cs="宋体"/>
          <w:color w:val="auto"/>
          <w:sz w:val="24"/>
          <w:szCs w:val="24"/>
          <w:highlight w:val="none"/>
        </w:rPr>
        <w:t>份，具有同等法律效力，甲方、乙方各执</w:t>
      </w:r>
      <w:r>
        <w:rPr>
          <w:rFonts w:hint="eastAsia" w:eastAsia="宋体" w:asciiTheme="minorEastAsia" w:hAnsiTheme="minorEastAsia" w:cstheme="minorEastAsia"/>
          <w:bCs/>
          <w:color w:val="auto"/>
          <w:sz w:val="24"/>
          <w:szCs w:val="24"/>
          <w:u w:val="single"/>
          <w:lang w:val="en-US" w:eastAsia="zh-CN"/>
        </w:rPr>
        <w:t xml:space="preserve">  壹 </w:t>
      </w:r>
      <w:r>
        <w:rPr>
          <w:rFonts w:ascii="宋体" w:hAnsi="宋体" w:eastAsia="宋体" w:cs="宋体"/>
          <w:color w:val="auto"/>
          <w:sz w:val="24"/>
          <w:szCs w:val="24"/>
          <w:highlight w:val="none"/>
        </w:rPr>
        <w:t>份；副本</w:t>
      </w:r>
      <w:r>
        <w:rPr>
          <w:rFonts w:hint="eastAsia" w:eastAsia="宋体" w:asciiTheme="minorEastAsia" w:hAnsiTheme="minorEastAsia" w:cstheme="minorEastAsia"/>
          <w:bCs/>
          <w:color w:val="auto"/>
          <w:sz w:val="24"/>
          <w:szCs w:val="24"/>
          <w:u w:val="single"/>
          <w:lang w:val="en-US" w:eastAsia="zh-CN"/>
        </w:rPr>
        <w:t xml:space="preserve">  陆  </w:t>
      </w:r>
      <w:r>
        <w:rPr>
          <w:rFonts w:ascii="宋体" w:hAnsi="宋体" w:eastAsia="宋体" w:cs="宋体"/>
          <w:color w:val="auto"/>
          <w:sz w:val="24"/>
          <w:szCs w:val="24"/>
          <w:highlight w:val="none"/>
        </w:rPr>
        <w:t>份，</w:t>
      </w:r>
      <w:r>
        <w:rPr>
          <w:rFonts w:eastAsia="宋体" w:asciiTheme="minorEastAsia" w:hAnsiTheme="minorEastAsia" w:cstheme="minorEastAsia"/>
          <w:bCs/>
          <w:color w:val="auto"/>
          <w:sz w:val="24"/>
          <w:szCs w:val="24"/>
        </w:rPr>
        <w:t>甲方、乙方各执</w:t>
      </w:r>
      <w:r>
        <w:rPr>
          <w:rFonts w:hint="eastAsia" w:eastAsia="宋体" w:asciiTheme="minorEastAsia" w:hAnsiTheme="minorEastAsia" w:cstheme="minorEastAsia"/>
          <w:bCs/>
          <w:color w:val="auto"/>
          <w:sz w:val="24"/>
          <w:szCs w:val="24"/>
          <w:u w:val="single"/>
          <w:lang w:val="en-US" w:eastAsia="zh-CN"/>
        </w:rPr>
        <w:t xml:space="preserve">  叁  </w:t>
      </w:r>
      <w:r>
        <w:rPr>
          <w:rFonts w:eastAsia="宋体" w:asciiTheme="minorEastAsia" w:hAnsiTheme="minorEastAsia" w:cstheme="minorEastAsia"/>
          <w:bCs/>
          <w:color w:val="auto"/>
          <w:sz w:val="24"/>
          <w:szCs w:val="24"/>
        </w:rPr>
        <w:t>份</w:t>
      </w:r>
      <w:r>
        <w:rPr>
          <w:rFonts w:hint="eastAsia" w:eastAsia="宋体" w:asciiTheme="minorEastAsia" w:hAnsiTheme="minorEastAsia" w:cstheme="minorEastAsia"/>
          <w:bCs/>
          <w:color w:val="auto"/>
          <w:sz w:val="24"/>
          <w:szCs w:val="24"/>
          <w:lang w:eastAsia="zh-CN"/>
        </w:rPr>
        <w:t>。</w:t>
      </w:r>
    </w:p>
    <w:p w14:paraId="4E856A4C">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十六、合同附件</w:t>
      </w:r>
      <w:r>
        <w:rPr>
          <w:rFonts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lang w:eastAsia="zh-CN"/>
        </w:rPr>
        <w:t>供货清单。</w:t>
      </w:r>
      <w:r>
        <w:rPr>
          <w:rFonts w:ascii="宋体" w:hAnsi="宋体" w:eastAsia="宋体" w:cs="宋体"/>
          <w:color w:val="auto"/>
          <w:sz w:val="24"/>
          <w:szCs w:val="24"/>
          <w:highlight w:val="none"/>
        </w:rPr>
        <w:br w:type="textWrapping"/>
      </w:r>
    </w:p>
    <w:p w14:paraId="0A191EE3">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甲方（采购人）：</w:t>
      </w:r>
    </w:p>
    <w:p w14:paraId="16EE3B19">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法定（授权）代表人：</w:t>
      </w:r>
    </w:p>
    <w:p w14:paraId="6C97BAFF">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纳税人识别号：</w:t>
      </w:r>
    </w:p>
    <w:p w14:paraId="29DDA11D">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开户银行：</w:t>
      </w:r>
    </w:p>
    <w:p w14:paraId="5DB0175E">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账号：</w:t>
      </w:r>
    </w:p>
    <w:p w14:paraId="7B55A3C8">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乙方（中标或成交人）：</w:t>
      </w:r>
    </w:p>
    <w:p w14:paraId="1C7D35C0">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法定（授权）代表人：</w:t>
      </w:r>
    </w:p>
    <w:p w14:paraId="0E451AD1">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纳税人识别号：</w:t>
      </w:r>
    </w:p>
    <w:p w14:paraId="57563078">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开户银行：</w:t>
      </w:r>
    </w:p>
    <w:p w14:paraId="11465BCD">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账号：</w:t>
      </w:r>
    </w:p>
    <w:p w14:paraId="622A3360">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签订地点：__________</w:t>
      </w:r>
    </w:p>
    <w:p w14:paraId="5E5EB0BC">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签订日期：___年___月___日</w:t>
      </w:r>
    </w:p>
    <w:p w14:paraId="65A0813B">
      <w:pPr>
        <w:rPr>
          <w:rFonts w:hint="eastAsia" w:ascii="宋体" w:hAnsi="宋体" w:eastAsia="宋体" w:cs="宋体"/>
          <w:color w:val="333333"/>
          <w:sz w:val="39"/>
          <w:szCs w:val="39"/>
          <w:shd w:val="clear" w:color="auto" w:fill="FFFFFF"/>
        </w:rPr>
      </w:pPr>
      <w:r>
        <w:rPr>
          <w:rFonts w:hint="eastAsia" w:ascii="宋体" w:hAnsi="宋体" w:eastAsia="宋体" w:cs="宋体"/>
          <w:color w:val="333333"/>
          <w:sz w:val="39"/>
          <w:szCs w:val="39"/>
          <w:shd w:val="clear" w:color="auto" w:fill="FFFFFF"/>
        </w:rPr>
        <w:br w:type="page"/>
      </w:r>
    </w:p>
    <w:p w14:paraId="4C52131E">
      <w:pPr>
        <w:pStyle w:val="3"/>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sz w:val="39"/>
          <w:szCs w:val="39"/>
        </w:rPr>
      </w:pPr>
      <w:bookmarkStart w:id="10" w:name="_Toc30594"/>
      <w:r>
        <w:rPr>
          <w:rFonts w:hint="eastAsia" w:ascii="宋体" w:hAnsi="宋体" w:eastAsia="宋体" w:cs="宋体"/>
          <w:color w:val="333333"/>
          <w:sz w:val="39"/>
          <w:szCs w:val="39"/>
          <w:shd w:val="clear" w:color="auto" w:fill="FFFFFF"/>
        </w:rPr>
        <w:t>第五章首次响应文件格式</w:t>
      </w:r>
      <w:bookmarkEnd w:id="10"/>
    </w:p>
    <w:p w14:paraId="25A01E2D">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编制说明</w:t>
      </w:r>
    </w:p>
    <w:p w14:paraId="2914320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333333"/>
        </w:rPr>
      </w:pPr>
      <w:r>
        <w:rPr>
          <w:rFonts w:hint="eastAsia" w:ascii="宋体" w:hAnsi="宋体" w:eastAsia="宋体" w:cs="宋体"/>
          <w:color w:val="333333"/>
          <w:shd w:val="clear" w:color="auto" w:fill="FFFFFF"/>
        </w:rPr>
        <w:t>1、本附件所有格式为响应文件的组成部分，供采购人或代理机构编制磋商文件时参考使用。由于新增政策、行业管理规定或者不同项目实际特点需要,则采购人或代理机构可以对有关表格进行必要的补充或修改，以满足实际项目的使用。</w:t>
      </w:r>
    </w:p>
    <w:p w14:paraId="7DDC7D2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color w:val="333333"/>
          <w:shd w:val="clear" w:color="auto" w:fill="FFFFFF"/>
        </w:rPr>
        <w:t> </w:t>
      </w:r>
    </w:p>
    <w:p w14:paraId="7D6800CD">
      <w:pPr>
        <w:rPr>
          <w:rFonts w:hint="eastAsia" w:ascii="宋体" w:hAnsi="宋体" w:eastAsia="宋体" w:cs="宋体"/>
          <w:sz w:val="78"/>
          <w:szCs w:val="78"/>
        </w:rPr>
      </w:pPr>
      <w:r>
        <w:rPr>
          <w:rFonts w:hint="eastAsia" w:ascii="宋体" w:hAnsi="宋体" w:eastAsia="宋体" w:cs="宋体"/>
          <w:sz w:val="78"/>
          <w:szCs w:val="78"/>
        </w:rPr>
        <w:br w:type="page"/>
      </w:r>
    </w:p>
    <w:p w14:paraId="08A90F10">
      <w:pPr>
        <w:pStyle w:val="2"/>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sz w:val="78"/>
          <w:szCs w:val="78"/>
        </w:rPr>
      </w:pPr>
      <w:bookmarkStart w:id="11" w:name="_Toc5786"/>
      <w:r>
        <w:rPr>
          <w:rFonts w:hint="eastAsia" w:ascii="宋体" w:hAnsi="宋体" w:eastAsia="宋体" w:cs="宋体"/>
          <w:sz w:val="78"/>
          <w:szCs w:val="78"/>
        </w:rPr>
        <w:t>福建省政府采购项目竞争性磋商</w:t>
      </w:r>
      <w:bookmarkEnd w:id="11"/>
    </w:p>
    <w:p w14:paraId="2ACB678D">
      <w:pPr>
        <w:pStyle w:val="3"/>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sz w:val="39"/>
          <w:szCs w:val="39"/>
        </w:rPr>
      </w:pPr>
      <w:bookmarkStart w:id="12" w:name="_Toc11445"/>
      <w:r>
        <w:rPr>
          <w:rFonts w:hint="eastAsia" w:ascii="宋体" w:hAnsi="宋体" w:eastAsia="宋体" w:cs="宋体"/>
          <w:sz w:val="39"/>
          <w:szCs w:val="39"/>
        </w:rPr>
        <w:t>响应文件</w:t>
      </w:r>
      <w:bookmarkEnd w:id="12"/>
    </w:p>
    <w:p w14:paraId="289087CD">
      <w:pPr>
        <w:pStyle w:val="3"/>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sz w:val="39"/>
          <w:szCs w:val="39"/>
        </w:rPr>
      </w:pPr>
      <w:bookmarkStart w:id="13" w:name="_Toc22255"/>
      <w:r>
        <w:rPr>
          <w:rFonts w:hint="eastAsia" w:ascii="宋体" w:hAnsi="宋体" w:eastAsia="宋体" w:cs="宋体"/>
          <w:sz w:val="39"/>
          <w:szCs w:val="39"/>
        </w:rPr>
        <w:t>（首次）</w:t>
      </w:r>
      <w:bookmarkEnd w:id="13"/>
    </w:p>
    <w:p w14:paraId="03BFAA36">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kern w:val="0"/>
          <w:sz w:val="24"/>
          <w:lang w:bidi="ar"/>
        </w:rPr>
        <w:br w:type="textWrapping"/>
      </w:r>
      <w:r>
        <w:rPr>
          <w:rFonts w:hint="eastAsia" w:ascii="宋体" w:hAnsi="宋体" w:eastAsia="宋体" w:cs="宋体"/>
          <w:kern w:val="0"/>
          <w:sz w:val="24"/>
          <w:lang w:bidi="ar"/>
        </w:rPr>
        <w:br w:type="textWrapping"/>
      </w:r>
      <w:r>
        <w:rPr>
          <w:rFonts w:hint="eastAsia" w:ascii="宋体" w:hAnsi="宋体" w:eastAsia="宋体" w:cs="宋体"/>
          <w:kern w:val="0"/>
          <w:sz w:val="24"/>
          <w:lang w:bidi="ar"/>
        </w:rPr>
        <w:br w:type="textWrapping"/>
      </w:r>
    </w:p>
    <w:p w14:paraId="6232B096">
      <w:pPr>
        <w:pStyle w:val="4"/>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项目名称：</w:t>
      </w:r>
      <w:r>
        <w:rPr>
          <w:rFonts w:hint="eastAsia" w:ascii="宋体" w:hAnsi="宋体" w:eastAsia="宋体" w:cs="宋体"/>
          <w:u w:val="single"/>
        </w:rPr>
        <w:t>                      </w:t>
      </w:r>
    </w:p>
    <w:p w14:paraId="6B30ED47">
      <w:pPr>
        <w:pStyle w:val="4"/>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项目编号：</w:t>
      </w:r>
      <w:r>
        <w:rPr>
          <w:rFonts w:hint="eastAsia" w:ascii="宋体" w:hAnsi="宋体" w:eastAsia="宋体" w:cs="宋体"/>
          <w:u w:val="single"/>
        </w:rPr>
        <w:t>                      </w:t>
      </w:r>
    </w:p>
    <w:p w14:paraId="712D995F">
      <w:pPr>
        <w:pStyle w:val="4"/>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采购包：</w:t>
      </w:r>
      <w:r>
        <w:rPr>
          <w:rFonts w:hint="eastAsia" w:ascii="宋体" w:hAnsi="宋体" w:eastAsia="宋体" w:cs="宋体"/>
          <w:u w:val="single"/>
        </w:rPr>
        <w:t>                      </w:t>
      </w:r>
    </w:p>
    <w:p w14:paraId="69B335CA">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59B4DDE5">
      <w:pPr>
        <w:pStyle w:val="4"/>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w:t>
      </w:r>
    </w:p>
    <w:p w14:paraId="4C0FC072">
      <w:pPr>
        <w:pStyle w:val="4"/>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日      期：</w:t>
      </w:r>
      <w:r>
        <w:rPr>
          <w:rFonts w:hint="eastAsia" w:ascii="宋体" w:hAnsi="宋体" w:eastAsia="宋体" w:cs="宋体"/>
          <w:u w:val="single"/>
        </w:rPr>
        <w:t>                      </w:t>
      </w:r>
    </w:p>
    <w:p w14:paraId="7D3BCCA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color w:val="333333"/>
          <w:shd w:val="clear" w:color="auto" w:fill="FFFFFF"/>
        </w:rPr>
        <w:t> </w:t>
      </w:r>
    </w:p>
    <w:p w14:paraId="3F66BDF2">
      <w:pPr>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rPr>
        <w:br w:type="page"/>
      </w:r>
    </w:p>
    <w:p w14:paraId="336162CF">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目录</w:t>
      </w:r>
    </w:p>
    <w:p w14:paraId="70CF926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附件1：响应函</w:t>
      </w:r>
    </w:p>
    <w:p w14:paraId="7F04799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附件2：开标（报价）一览表（含投标（响应）报价明细表）</w:t>
      </w:r>
    </w:p>
    <w:p w14:paraId="1AAC234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附件3：资格证明文件</w:t>
      </w:r>
    </w:p>
    <w:p w14:paraId="5B5A457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附件4：磋商保证金凭证</w:t>
      </w:r>
    </w:p>
    <w:p w14:paraId="5A19896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附件5：技术和商务偏离表</w:t>
      </w:r>
    </w:p>
    <w:p w14:paraId="53FFA11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附件6：相关技术、商务、服务响应承诺及资料</w:t>
      </w:r>
    </w:p>
    <w:p w14:paraId="44BA3DE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附件7：供应商提交的其他资料</w:t>
      </w:r>
    </w:p>
    <w:p w14:paraId="74EC84A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附件8：要求作为响应文件组成部分的其他内容（若有）</w:t>
      </w:r>
    </w:p>
    <w:p w14:paraId="55571CC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color w:val="333333"/>
          <w:shd w:val="clear" w:color="auto" w:fill="FFFFFF"/>
        </w:rPr>
        <w:t> </w:t>
      </w:r>
    </w:p>
    <w:p w14:paraId="459AA44F">
      <w:pPr>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rPr>
        <w:br w:type="page"/>
      </w:r>
    </w:p>
    <w:p w14:paraId="24C36619">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附件1磋商响应声明</w:t>
      </w:r>
    </w:p>
    <w:p w14:paraId="05D0BF8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35DD0C9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1.根据贵方为</w:t>
      </w:r>
      <w:r>
        <w:rPr>
          <w:rFonts w:hint="eastAsia" w:ascii="宋体" w:hAnsi="宋体" w:eastAsia="宋体" w:cs="宋体"/>
          <w:u w:val="single"/>
        </w:rPr>
        <w:t>　　　　　 　　　　 </w:t>
      </w:r>
      <w:r>
        <w:rPr>
          <w:rFonts w:hint="eastAsia" w:ascii="宋体" w:hAnsi="宋体" w:eastAsia="宋体" w:cs="宋体"/>
        </w:rPr>
        <w:t>项目（项目编号）:</w:t>
      </w:r>
      <w:r>
        <w:rPr>
          <w:rFonts w:hint="eastAsia" w:ascii="宋体" w:hAnsi="宋体" w:eastAsia="宋体" w:cs="宋体"/>
          <w:u w:val="single"/>
        </w:rPr>
        <w:t>　　　　 　　　　　 </w:t>
      </w:r>
      <w:r>
        <w:rPr>
          <w:rFonts w:hint="eastAsia" w:ascii="宋体" w:hAnsi="宋体" w:eastAsia="宋体" w:cs="宋体"/>
        </w:rPr>
        <w:t>的采购公告（或采购邀请书），我方签字代表</w:t>
      </w:r>
      <w:r>
        <w:rPr>
          <w:rFonts w:hint="eastAsia" w:ascii="宋体" w:hAnsi="宋体" w:eastAsia="宋体" w:cs="宋体"/>
          <w:u w:val="single"/>
        </w:rPr>
        <w:t> （全名、职务）</w:t>
      </w:r>
      <w:r>
        <w:rPr>
          <w:rFonts w:hint="eastAsia" w:ascii="宋体" w:hAnsi="宋体" w:eastAsia="宋体" w:cs="宋体"/>
        </w:rPr>
        <w:t>经正式授权并代表的供应商</w:t>
      </w:r>
      <w:r>
        <w:rPr>
          <w:rFonts w:hint="eastAsia" w:ascii="宋体" w:hAnsi="宋体" w:eastAsia="宋体" w:cs="宋体"/>
          <w:u w:val="single"/>
        </w:rPr>
        <w:t>（供应商名称、地址）</w:t>
      </w:r>
      <w:r>
        <w:rPr>
          <w:rFonts w:hint="eastAsia" w:ascii="宋体" w:hAnsi="宋体" w:eastAsia="宋体" w:cs="宋体"/>
        </w:rPr>
        <w:t>提交包含下述内容的首次响应纸质文件正本</w:t>
      </w:r>
      <w:r>
        <w:rPr>
          <w:rFonts w:hint="eastAsia" w:ascii="宋体" w:hAnsi="宋体" w:eastAsia="宋体" w:cs="宋体"/>
          <w:u w:val="single"/>
        </w:rPr>
        <w:t>　　</w:t>
      </w:r>
      <w:r>
        <w:rPr>
          <w:rFonts w:hint="eastAsia" w:ascii="宋体" w:hAnsi="宋体" w:eastAsia="宋体" w:cs="宋体"/>
        </w:rPr>
        <w:t>套，副本</w:t>
      </w:r>
      <w:r>
        <w:rPr>
          <w:rFonts w:hint="eastAsia" w:ascii="宋体" w:hAnsi="宋体" w:eastAsia="宋体" w:cs="宋体"/>
          <w:u w:val="single"/>
        </w:rPr>
        <w:t>　　</w:t>
      </w:r>
      <w:r>
        <w:rPr>
          <w:rFonts w:hint="eastAsia" w:ascii="宋体" w:hAnsi="宋体" w:eastAsia="宋体" w:cs="宋体"/>
        </w:rPr>
        <w:t>套及电子文档</w:t>
      </w:r>
      <w:r>
        <w:rPr>
          <w:rFonts w:hint="eastAsia" w:ascii="宋体" w:hAnsi="宋体" w:eastAsia="宋体" w:cs="宋体"/>
          <w:u w:val="single"/>
        </w:rPr>
        <w:t>　　</w:t>
      </w:r>
      <w:r>
        <w:rPr>
          <w:rFonts w:hint="eastAsia" w:ascii="宋体" w:hAnsi="宋体" w:eastAsia="宋体" w:cs="宋体"/>
        </w:rPr>
        <w:t>套。</w:t>
      </w:r>
    </w:p>
    <w:p w14:paraId="6F05DA2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（1）响应函</w:t>
      </w:r>
    </w:p>
    <w:p w14:paraId="4773506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（2）开标（报价）一览表（含投标（响应）报价明细表）</w:t>
      </w:r>
    </w:p>
    <w:p w14:paraId="5953AB1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（3）资格证明文件</w:t>
      </w:r>
    </w:p>
    <w:p w14:paraId="20CA65D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（4）磋商保证金凭证</w:t>
      </w:r>
    </w:p>
    <w:p w14:paraId="2C94220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（5）技术和商务偏离表</w:t>
      </w:r>
    </w:p>
    <w:p w14:paraId="3EE5B34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（6）相关技术、商务、服务响应承诺及资料</w:t>
      </w:r>
    </w:p>
    <w:p w14:paraId="1262664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（7）供应商提交的其他资料</w:t>
      </w:r>
    </w:p>
    <w:p w14:paraId="618C5D9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（8）按照磋商文件规定，要求作为响应文件组成部分的其他内容（若有）</w:t>
      </w:r>
    </w:p>
    <w:p w14:paraId="09DCAEB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2.据此函，我方宣布响应承诺如下：</w:t>
      </w:r>
    </w:p>
    <w:p w14:paraId="4A923EC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我方已详细审查全部竞争性磋商文件，包括澄清、修改、补充或更正文件（如有的话）和有关附件，我方完全熟悉和理解其中的要求、条款和条件，且无任何异议。除了我方已在技术和商务偏离表中列出的负偏差和不响应外，我方承诺将按竞争性磋商文件的各项规定履行合同责任和义务。竞争性磋商文件及其附件资料如果有涉及应当保密的内容，我方将严格遵守规定，不将应当保密的内容泄密给第三方或另作它用，如有违反，采购人可依法追究我方的法律责任。</w:t>
      </w:r>
    </w:p>
    <w:p w14:paraId="4F06404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2.2一旦我方获得成交，我方将按照竞争性磋商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磋商文件的要求，并在规定的期限内与采购人签订合同。</w:t>
      </w:r>
    </w:p>
    <w:p w14:paraId="7FD0025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2.3我方承诺：递交的所有响应文件（包括首次响应文件、补充澄清、最后报价等响应文件）在竞争性磋商须知前附表第4项规定的响应文件有效期内始终保持有效，我方将受此约束。我方对响应文件中的所有承诺、声明、数据和资料的真实性、准确性、合法性、有效性负责；我方响应文件中有关复印件或扫描件资料均与原件一致。如有违反，我方将承担法律责任和后果。</w:t>
      </w:r>
    </w:p>
    <w:p w14:paraId="3DF9676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2.4我方已经按照磋商文件要求提交磋商保证金，磋商保证金有效期与响应文件有效期一致，我方如果发生任何竞争性磋商文件中所述不予退还磋商保证金的情况，则我方的磋商保证金将被贵方不予退还，我方对此无异议。磋商保证金或保函有效期与响应文件有效期保持一致。</w:t>
      </w:r>
    </w:p>
    <w:p w14:paraId="0CC507B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2.5我方愿意向贵方提供任何与本项目磋商采购有关的数据或资料。若贵方需要，我方愿意提供我方作出的一切承诺的证明材料。</w:t>
      </w:r>
    </w:p>
    <w:p w14:paraId="0BA9EAD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2.6我方联系方式、电子信箱和通信地址等信息如下，用于接受贵方发出的与本次磋商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14:paraId="354754D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2.7我方承诺遵守《中华人民共和国劳动合同法》有关规定和《中华人民共和国妇女权益保障法》中关于“劳动和社会保障权益”的有关要求。</w:t>
      </w:r>
    </w:p>
    <w:p w14:paraId="70F432E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2.8我方承诺响应文件所提供的全部资料真实可靠，并接受磋商小组、采购人、采购代理机构、监管部门进一步审查其中任何资料真实性的要求。</w:t>
      </w:r>
    </w:p>
    <w:p w14:paraId="29F0CF5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通信地址:</w:t>
      </w:r>
      <w:r>
        <w:rPr>
          <w:rFonts w:hint="eastAsia" w:ascii="宋体" w:hAnsi="宋体" w:eastAsia="宋体" w:cs="宋体"/>
          <w:u w:val="single"/>
        </w:rPr>
        <w:t>　　　　　　　　　　　</w:t>
      </w:r>
    </w:p>
    <w:p w14:paraId="1411934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邮编：</w:t>
      </w:r>
      <w:r>
        <w:rPr>
          <w:rFonts w:hint="eastAsia" w:ascii="宋体" w:hAnsi="宋体" w:eastAsia="宋体" w:cs="宋体"/>
          <w:u w:val="single"/>
        </w:rPr>
        <w:t>　　　　　　</w:t>
      </w:r>
      <w:r>
        <w:rPr>
          <w:rFonts w:hint="eastAsia" w:ascii="宋体" w:hAnsi="宋体" w:eastAsia="宋体" w:cs="宋体"/>
        </w:rPr>
        <w:t> 传真号：</w:t>
      </w:r>
      <w:r>
        <w:rPr>
          <w:rFonts w:hint="eastAsia" w:ascii="宋体" w:hAnsi="宋体" w:eastAsia="宋体" w:cs="宋体"/>
          <w:u w:val="single"/>
        </w:rPr>
        <w:t>　　　　　　</w:t>
      </w:r>
    </w:p>
    <w:p w14:paraId="4537460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联系电话（固定电话和移动电话）：</w:t>
      </w:r>
      <w:r>
        <w:rPr>
          <w:rFonts w:hint="eastAsia" w:ascii="宋体" w:hAnsi="宋体" w:eastAsia="宋体" w:cs="宋体"/>
          <w:u w:val="single"/>
        </w:rPr>
        <w:t>　　　　　　　　</w:t>
      </w:r>
    </w:p>
    <w:p w14:paraId="3FEA0AF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　　</w:t>
      </w:r>
    </w:p>
    <w:p w14:paraId="579047F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供应商代表电子信箱：</w:t>
      </w:r>
      <w:r>
        <w:rPr>
          <w:rFonts w:hint="eastAsia" w:ascii="宋体" w:hAnsi="宋体" w:eastAsia="宋体" w:cs="宋体"/>
          <w:u w:val="single"/>
        </w:rPr>
        <w:t>　　　　　　　　</w:t>
      </w:r>
    </w:p>
    <w:p w14:paraId="507BB23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　　（全称并加盖公章）　　</w:t>
      </w:r>
    </w:p>
    <w:p w14:paraId="606F4FF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051AC45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09C1C25">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333333"/>
          <w:sz w:val="78"/>
          <w:szCs w:val="78"/>
          <w:shd w:val="clear" w:color="auto" w:fill="FFFFFF"/>
        </w:rPr>
      </w:pPr>
      <w:r>
        <w:rPr>
          <w:rFonts w:hint="eastAsia" w:ascii="宋体" w:hAnsi="宋体" w:eastAsia="宋体" w:cs="宋体"/>
          <w:b/>
          <w:bCs/>
          <w:color w:val="333333"/>
          <w:sz w:val="78"/>
          <w:szCs w:val="78"/>
          <w:shd w:val="clear" w:color="auto" w:fill="FFFFFF"/>
        </w:rPr>
        <w:br w:type="page"/>
      </w:r>
    </w:p>
    <w:p w14:paraId="22C1048D">
      <w:pPr>
        <w:pStyle w:val="2"/>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sz w:val="78"/>
          <w:szCs w:val="78"/>
        </w:rPr>
      </w:pPr>
      <w:bookmarkStart w:id="14" w:name="_Toc32402"/>
      <w:r>
        <w:rPr>
          <w:rFonts w:hint="eastAsia" w:ascii="宋体" w:hAnsi="宋体" w:eastAsia="宋体" w:cs="宋体"/>
          <w:color w:val="333333"/>
          <w:sz w:val="78"/>
          <w:szCs w:val="78"/>
          <w:shd w:val="clear" w:color="auto" w:fill="FFFFFF"/>
        </w:rPr>
        <w:t>首次开标（报价）一览表</w:t>
      </w:r>
      <w:bookmarkEnd w:id="14"/>
    </w:p>
    <w:p w14:paraId="707E2127">
      <w:pPr>
        <w:keepNext w:val="0"/>
        <w:keepLines w:val="0"/>
        <w:pageBreakBefore w:val="0"/>
        <w:widowControl/>
        <w:shd w:val="clear" w:color="auto" w:fill="FFFFFF"/>
        <w:kinsoku/>
        <w:overflowPunct/>
        <w:topLinePunct w:val="0"/>
        <w:bidi w:val="0"/>
        <w:snapToGrid/>
        <w:spacing w:line="240" w:lineRule="auto"/>
        <w:jc w:val="left"/>
        <w:textAlignment w:val="auto"/>
        <w:rPr>
          <w:rFonts w:hint="default" w:ascii="宋体" w:hAnsi="宋体" w:eastAsia="宋体" w:cs="宋体"/>
          <w:color w:val="333333"/>
          <w:sz w:val="24"/>
          <w:lang w:val="en-US" w:eastAsia="zh-CN"/>
        </w:rPr>
      </w:pPr>
      <w:r>
        <w:rPr>
          <w:rFonts w:hint="eastAsia" w:ascii="宋体" w:hAnsi="宋体" w:eastAsia="宋体" w:cs="宋体"/>
          <w:color w:val="333333"/>
          <w:kern w:val="0"/>
          <w:sz w:val="24"/>
          <w:shd w:val="clear" w:color="auto" w:fill="FFFFFF"/>
          <w:lang w:bidi="ar"/>
        </w:rPr>
        <w:t>项目编号： </w:t>
      </w:r>
      <w:r>
        <w:rPr>
          <w:rFonts w:hint="eastAsia" w:ascii="宋体" w:hAnsi="宋体" w:eastAsia="宋体" w:cs="宋体"/>
          <w:color w:val="333333"/>
          <w:kern w:val="0"/>
          <w:sz w:val="24"/>
          <w:shd w:val="clear" w:color="auto" w:fill="FFFFFF"/>
          <w:lang w:eastAsia="zh-CN" w:bidi="ar"/>
        </w:rPr>
        <w:t>FJHTZ202</w:t>
      </w:r>
      <w:r>
        <w:rPr>
          <w:rFonts w:hint="eastAsia" w:ascii="宋体" w:hAnsi="宋体" w:eastAsia="宋体" w:cs="宋体"/>
          <w:color w:val="333333"/>
          <w:kern w:val="0"/>
          <w:sz w:val="24"/>
          <w:shd w:val="clear" w:color="auto" w:fill="FFFFFF"/>
          <w:lang w:val="en-US" w:eastAsia="zh-CN" w:bidi="ar"/>
        </w:rPr>
        <w:t>6035</w:t>
      </w:r>
    </w:p>
    <w:p w14:paraId="0A88EBAF">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eastAsia="zh-CN" w:bidi="ar"/>
        </w:rPr>
      </w:pPr>
      <w:r>
        <w:rPr>
          <w:rFonts w:hint="eastAsia" w:ascii="宋体" w:hAnsi="宋体" w:eastAsia="宋体" w:cs="宋体"/>
          <w:color w:val="333333"/>
          <w:kern w:val="0"/>
          <w:sz w:val="24"/>
          <w:shd w:val="clear" w:color="auto" w:fill="FFFFFF"/>
          <w:lang w:bidi="ar"/>
        </w:rPr>
        <w:t>项目名称： </w:t>
      </w:r>
      <w:r>
        <w:rPr>
          <w:rFonts w:hint="eastAsia" w:ascii="宋体" w:hAnsi="宋体" w:eastAsia="宋体" w:cs="宋体"/>
          <w:color w:val="333333"/>
          <w:kern w:val="0"/>
          <w:sz w:val="24"/>
          <w:shd w:val="clear" w:color="auto" w:fill="FFFFFF"/>
          <w:lang w:eastAsia="zh-CN" w:bidi="ar"/>
        </w:rPr>
        <w:t>仙游县县域医共体消毒供应中心的双列货架等项目</w:t>
      </w:r>
    </w:p>
    <w:p w14:paraId="7CC10F9E">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bidi="ar"/>
        </w:rPr>
      </w:pPr>
      <w:r>
        <w:rPr>
          <w:rFonts w:hint="eastAsia" w:ascii="宋体" w:hAnsi="宋体" w:eastAsia="宋体" w:cs="宋体"/>
          <w:color w:val="333333"/>
          <w:kern w:val="0"/>
          <w:sz w:val="24"/>
          <w:shd w:val="clear" w:color="auto" w:fill="FFFFFF"/>
          <w:lang w:bidi="ar"/>
        </w:rPr>
        <w:t>包号： 1</w:t>
      </w:r>
    </w:p>
    <w:p w14:paraId="69FC2B78">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val="en-US" w:eastAsia="zh-CN" w:bidi="ar"/>
        </w:rPr>
      </w:pPr>
      <w:r>
        <w:rPr>
          <w:rFonts w:hint="eastAsia" w:ascii="宋体" w:hAnsi="宋体" w:eastAsia="宋体" w:cs="宋体"/>
          <w:color w:val="333333"/>
          <w:kern w:val="0"/>
          <w:sz w:val="24"/>
          <w:shd w:val="clear" w:color="auto" w:fill="FFFFFF"/>
          <w:lang w:val="en-US" w:eastAsia="zh-CN" w:bidi="ar"/>
        </w:rPr>
        <w:t>供应商名称：</w:t>
      </w:r>
    </w:p>
    <w:p w14:paraId="052EDB6E">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bidi="ar"/>
        </w:rPr>
      </w:pPr>
    </w:p>
    <w:tbl>
      <w:tblPr>
        <w:tblStyle w:val="19"/>
        <w:tblW w:w="5000" w:type="pct"/>
        <w:tblInd w:w="0" w:type="dxa"/>
        <w:tblLayout w:type="autofit"/>
        <w:tblCellMar>
          <w:top w:w="0" w:type="dxa"/>
          <w:left w:w="0" w:type="dxa"/>
          <w:bottom w:w="0" w:type="dxa"/>
          <w:right w:w="0" w:type="dxa"/>
        </w:tblCellMar>
      </w:tblPr>
      <w:tblGrid>
        <w:gridCol w:w="966"/>
        <w:gridCol w:w="3973"/>
        <w:gridCol w:w="1944"/>
        <w:gridCol w:w="1385"/>
        <w:gridCol w:w="1610"/>
      </w:tblGrid>
      <w:tr w14:paraId="2BB2D3AF">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D293117">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序号</w:t>
            </w:r>
          </w:p>
        </w:tc>
        <w:tc>
          <w:tcPr>
            <w:tcW w:w="2011"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09C1EEA">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报价内容</w:t>
            </w:r>
          </w:p>
        </w:tc>
        <w:tc>
          <w:tcPr>
            <w:tcW w:w="984"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72DBF08">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最高限价</w:t>
            </w:r>
          </w:p>
        </w:tc>
        <w:tc>
          <w:tcPr>
            <w:tcW w:w="701"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87069AB">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响应报价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2EA1739">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价款形式</w:t>
            </w:r>
          </w:p>
        </w:tc>
      </w:tr>
      <w:tr w14:paraId="3E0598DB">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2EE5814">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bidi="ar"/>
              </w:rPr>
              <w:t>1</w:t>
            </w:r>
          </w:p>
        </w:tc>
        <w:tc>
          <w:tcPr>
            <w:tcW w:w="2011"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87C1345">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lang w:eastAsia="zh-CN"/>
              </w:rPr>
            </w:pPr>
            <w:r>
              <w:rPr>
                <w:rFonts w:hint="eastAsia" w:ascii="宋体" w:hAnsi="宋体" w:eastAsia="宋体" w:cs="宋体"/>
                <w:kern w:val="0"/>
                <w:sz w:val="24"/>
                <w:lang w:eastAsia="zh-CN" w:bidi="ar"/>
              </w:rPr>
              <w:t>仙游县县域医共体消毒供应中心的双列货架等项目</w:t>
            </w:r>
          </w:p>
        </w:tc>
        <w:tc>
          <w:tcPr>
            <w:tcW w:w="98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3F02316">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val="en-US" w:eastAsia="zh-CN" w:bidi="ar"/>
              </w:rPr>
              <w:t>180000.00</w:t>
            </w:r>
            <w:r>
              <w:rPr>
                <w:rFonts w:hint="eastAsia" w:ascii="宋体" w:hAnsi="宋体" w:eastAsia="宋体" w:cs="宋体"/>
                <w:kern w:val="0"/>
                <w:sz w:val="24"/>
                <w:lang w:bidi="ar"/>
              </w:rPr>
              <w:t>元</w:t>
            </w:r>
          </w:p>
        </w:tc>
        <w:tc>
          <w:tcPr>
            <w:tcW w:w="701"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8145F94">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bidi="ar"/>
              </w:rPr>
              <w:t>元</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6116C5E">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bidi="ar"/>
              </w:rPr>
              <w:t>总价</w:t>
            </w:r>
          </w:p>
        </w:tc>
      </w:tr>
    </w:tbl>
    <w:p w14:paraId="133A1128">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sz w:val="24"/>
        </w:rPr>
      </w:pPr>
      <w:r>
        <w:rPr>
          <w:rFonts w:hint="eastAsia" w:ascii="宋体" w:hAnsi="宋体" w:eastAsia="宋体" w:cs="宋体"/>
          <w:color w:val="333333"/>
          <w:kern w:val="0"/>
          <w:sz w:val="24"/>
          <w:shd w:val="clear" w:color="auto" w:fill="FFFFFF"/>
          <w:lang w:bidi="ar"/>
        </w:rPr>
        <w:t>备注：无</w:t>
      </w:r>
    </w:p>
    <w:p w14:paraId="6BF8BB16">
      <w:pPr>
        <w:pStyle w:val="15"/>
        <w:keepNext w:val="0"/>
        <w:keepLines w:val="0"/>
        <w:pageBreakBefore w:val="0"/>
        <w:widowControl/>
        <w:kinsoku/>
        <w:overflowPunct/>
        <w:topLinePunct w:val="0"/>
        <w:bidi w:val="0"/>
        <w:snapToGrid/>
        <w:spacing w:beforeAutospacing="0" w:afterAutospacing="0" w:line="240" w:lineRule="auto"/>
        <w:textAlignment w:val="auto"/>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　　（全称并加盖公章）　　</w:t>
      </w:r>
    </w:p>
    <w:p w14:paraId="26140669">
      <w:pPr>
        <w:pStyle w:val="15"/>
        <w:keepNext w:val="0"/>
        <w:keepLines w:val="0"/>
        <w:pageBreakBefore w:val="0"/>
        <w:widowControl/>
        <w:kinsoku/>
        <w:overflowPunct/>
        <w:topLinePunct w:val="0"/>
        <w:bidi w:val="0"/>
        <w:snapToGrid/>
        <w:spacing w:beforeAutospacing="0" w:afterAutospacing="0" w:line="240" w:lineRule="auto"/>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71945084">
      <w:pPr>
        <w:keepNext w:val="0"/>
        <w:keepLines w:val="0"/>
        <w:pageBreakBefore w:val="0"/>
        <w:widowControl/>
        <w:shd w:val="clear" w:color="auto" w:fill="FFFFFF"/>
        <w:kinsoku/>
        <w:overflowPunct/>
        <w:topLinePunct w:val="0"/>
        <w:bidi w:val="0"/>
        <w:snapToGrid/>
        <w:spacing w:line="240" w:lineRule="auto"/>
        <w:textAlignment w:val="auto"/>
        <w:rPr>
          <w:rFonts w:hint="eastAsia" w:ascii="宋体" w:hAnsi="宋体" w:eastAsia="宋体" w:cs="宋体"/>
          <w:color w:val="333333"/>
          <w:sz w:val="24"/>
        </w:rPr>
      </w:pPr>
      <w:r>
        <w:rPr>
          <w:rFonts w:hint="eastAsia" w:ascii="宋体" w:hAnsi="宋体" w:eastAsia="宋体" w:cs="宋体"/>
          <w:color w:val="333333"/>
          <w:kern w:val="0"/>
          <w:sz w:val="24"/>
          <w:shd w:val="clear" w:color="auto" w:fill="FFFFFF"/>
          <w:lang w:bidi="ar"/>
        </w:rPr>
        <w:t>                   </w:t>
      </w:r>
    </w:p>
    <w:p w14:paraId="7DB65F15">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333333"/>
          <w:sz w:val="78"/>
          <w:szCs w:val="78"/>
          <w:shd w:val="clear" w:color="auto" w:fill="FFFFFF"/>
        </w:rPr>
      </w:pPr>
      <w:r>
        <w:rPr>
          <w:rFonts w:hint="eastAsia" w:ascii="宋体" w:hAnsi="宋体" w:eastAsia="宋体" w:cs="宋体"/>
          <w:b/>
          <w:bCs/>
          <w:color w:val="333333"/>
          <w:sz w:val="78"/>
          <w:szCs w:val="78"/>
          <w:shd w:val="clear" w:color="auto" w:fill="FFFFFF"/>
        </w:rPr>
        <w:br w:type="page"/>
      </w:r>
    </w:p>
    <w:p w14:paraId="0D38C092">
      <w:pPr>
        <w:pStyle w:val="24"/>
        <w:jc w:val="center"/>
        <w:outlineLvl w:val="2"/>
        <w:rPr>
          <w:rFonts w:hint="eastAsia" w:ascii="宋体" w:hAnsi="宋体" w:eastAsia="宋体" w:cs="宋体"/>
          <w:sz w:val="21"/>
          <w:szCs w:val="21"/>
        </w:rPr>
      </w:pPr>
      <w:r>
        <w:rPr>
          <w:rFonts w:hint="eastAsia" w:ascii="宋体" w:hAnsi="宋体" w:eastAsia="宋体" w:cs="宋体"/>
          <w:b/>
          <w:sz w:val="28"/>
          <w:szCs w:val="21"/>
        </w:rPr>
        <w:t>附件2-1 详细报价书</w:t>
      </w:r>
    </w:p>
    <w:p w14:paraId="7278A670">
      <w:pPr>
        <w:keepNext w:val="0"/>
        <w:keepLines w:val="0"/>
        <w:pageBreakBefore w:val="0"/>
        <w:widowControl/>
        <w:shd w:val="clear" w:color="auto" w:fill="FFFFFF"/>
        <w:kinsoku/>
        <w:overflowPunct/>
        <w:topLinePunct w:val="0"/>
        <w:bidi w:val="0"/>
        <w:snapToGrid/>
        <w:spacing w:line="240" w:lineRule="auto"/>
        <w:jc w:val="left"/>
        <w:textAlignment w:val="auto"/>
        <w:rPr>
          <w:rFonts w:hint="default" w:ascii="宋体" w:hAnsi="宋体" w:eastAsia="宋体" w:cs="宋体"/>
          <w:color w:val="333333"/>
          <w:sz w:val="24"/>
          <w:lang w:val="en-US" w:eastAsia="zh-CN"/>
        </w:rPr>
      </w:pPr>
      <w:r>
        <w:rPr>
          <w:rFonts w:hint="eastAsia" w:ascii="宋体" w:hAnsi="宋体" w:eastAsia="宋体" w:cs="宋体"/>
          <w:color w:val="333333"/>
          <w:kern w:val="0"/>
          <w:sz w:val="24"/>
          <w:shd w:val="clear" w:color="auto" w:fill="FFFFFF"/>
          <w:lang w:bidi="ar"/>
        </w:rPr>
        <w:t>项目编号： </w:t>
      </w:r>
      <w:r>
        <w:rPr>
          <w:rFonts w:hint="eastAsia" w:ascii="宋体" w:hAnsi="宋体" w:eastAsia="宋体" w:cs="宋体"/>
          <w:color w:val="333333"/>
          <w:kern w:val="0"/>
          <w:sz w:val="24"/>
          <w:shd w:val="clear" w:color="auto" w:fill="FFFFFF"/>
          <w:lang w:eastAsia="zh-CN" w:bidi="ar"/>
        </w:rPr>
        <w:t>FJHTZ202</w:t>
      </w:r>
      <w:r>
        <w:rPr>
          <w:rFonts w:hint="eastAsia" w:ascii="宋体" w:hAnsi="宋体" w:eastAsia="宋体" w:cs="宋体"/>
          <w:color w:val="333333"/>
          <w:kern w:val="0"/>
          <w:sz w:val="24"/>
          <w:shd w:val="clear" w:color="auto" w:fill="FFFFFF"/>
          <w:lang w:val="en-US" w:eastAsia="zh-CN" w:bidi="ar"/>
        </w:rPr>
        <w:t>6035</w:t>
      </w:r>
    </w:p>
    <w:p w14:paraId="2C92E738">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eastAsia="zh-CN" w:bidi="ar"/>
        </w:rPr>
      </w:pPr>
      <w:r>
        <w:rPr>
          <w:rFonts w:hint="eastAsia" w:ascii="宋体" w:hAnsi="宋体" w:eastAsia="宋体" w:cs="宋体"/>
          <w:color w:val="333333"/>
          <w:kern w:val="0"/>
          <w:sz w:val="24"/>
          <w:shd w:val="clear" w:color="auto" w:fill="FFFFFF"/>
          <w:lang w:bidi="ar"/>
        </w:rPr>
        <w:t>项目名称： </w:t>
      </w:r>
      <w:r>
        <w:rPr>
          <w:rFonts w:hint="eastAsia" w:ascii="宋体" w:hAnsi="宋体" w:eastAsia="宋体" w:cs="宋体"/>
          <w:color w:val="333333"/>
          <w:kern w:val="0"/>
          <w:sz w:val="24"/>
          <w:shd w:val="clear" w:color="auto" w:fill="FFFFFF"/>
          <w:lang w:eastAsia="zh-CN" w:bidi="ar"/>
        </w:rPr>
        <w:t>仙游县县域医共体消毒供应中心的双列货架等项目</w:t>
      </w:r>
    </w:p>
    <w:p w14:paraId="32A13278">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bidi="ar"/>
        </w:rPr>
      </w:pPr>
      <w:r>
        <w:rPr>
          <w:rFonts w:hint="eastAsia" w:ascii="宋体" w:hAnsi="宋体" w:eastAsia="宋体" w:cs="宋体"/>
          <w:color w:val="333333"/>
          <w:kern w:val="0"/>
          <w:sz w:val="24"/>
          <w:shd w:val="clear" w:color="auto" w:fill="FFFFFF"/>
          <w:lang w:bidi="ar"/>
        </w:rPr>
        <w:t>包号： 1</w:t>
      </w:r>
    </w:p>
    <w:p w14:paraId="3CB37541">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val="en-US" w:eastAsia="zh-CN" w:bidi="ar"/>
        </w:rPr>
      </w:pPr>
      <w:r>
        <w:rPr>
          <w:rFonts w:hint="eastAsia" w:ascii="宋体" w:hAnsi="宋体" w:eastAsia="宋体" w:cs="宋体"/>
          <w:color w:val="333333"/>
          <w:kern w:val="0"/>
          <w:sz w:val="24"/>
          <w:shd w:val="clear" w:color="auto" w:fill="FFFFFF"/>
          <w:lang w:val="en-US" w:eastAsia="zh-CN" w:bidi="ar"/>
        </w:rPr>
        <w:t>供应商名称：</w:t>
      </w:r>
    </w:p>
    <w:p w14:paraId="65D1F613">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val="en-US" w:eastAsia="zh-CN" w:bidi="ar"/>
        </w:rPr>
      </w:pPr>
    </w:p>
    <w:tbl>
      <w:tblPr>
        <w:tblStyle w:val="19"/>
        <w:tblW w:w="968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37"/>
        <w:gridCol w:w="996"/>
        <w:gridCol w:w="716"/>
        <w:gridCol w:w="716"/>
        <w:gridCol w:w="716"/>
        <w:gridCol w:w="716"/>
        <w:gridCol w:w="716"/>
        <w:gridCol w:w="597"/>
        <w:gridCol w:w="727"/>
        <w:gridCol w:w="783"/>
        <w:gridCol w:w="767"/>
        <w:gridCol w:w="866"/>
        <w:gridCol w:w="834"/>
      </w:tblGrid>
      <w:tr w14:paraId="415D9C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7" w:type="dxa"/>
            <w:vAlign w:val="center"/>
          </w:tcPr>
          <w:p w14:paraId="5844F2C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序号</w:t>
            </w:r>
          </w:p>
        </w:tc>
        <w:tc>
          <w:tcPr>
            <w:tcW w:w="996" w:type="dxa"/>
            <w:vAlign w:val="center"/>
          </w:tcPr>
          <w:p w14:paraId="074C772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货物名称</w:t>
            </w:r>
          </w:p>
        </w:tc>
        <w:tc>
          <w:tcPr>
            <w:tcW w:w="716" w:type="dxa"/>
            <w:vAlign w:val="center"/>
          </w:tcPr>
          <w:p w14:paraId="0B6B76E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规格型号</w:t>
            </w:r>
          </w:p>
        </w:tc>
        <w:tc>
          <w:tcPr>
            <w:tcW w:w="716" w:type="dxa"/>
            <w:vAlign w:val="center"/>
          </w:tcPr>
          <w:p w14:paraId="18EC567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品牌</w:t>
            </w:r>
          </w:p>
        </w:tc>
        <w:tc>
          <w:tcPr>
            <w:tcW w:w="716" w:type="dxa"/>
            <w:vAlign w:val="center"/>
          </w:tcPr>
          <w:p w14:paraId="244ACF9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制造商名称</w:t>
            </w:r>
          </w:p>
        </w:tc>
        <w:tc>
          <w:tcPr>
            <w:tcW w:w="716" w:type="dxa"/>
            <w:vAlign w:val="center"/>
          </w:tcPr>
          <w:p w14:paraId="3D5F934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产地</w:t>
            </w:r>
          </w:p>
        </w:tc>
        <w:tc>
          <w:tcPr>
            <w:tcW w:w="716" w:type="dxa"/>
            <w:vAlign w:val="center"/>
          </w:tcPr>
          <w:p w14:paraId="7EDA1EA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最高限价</w:t>
            </w:r>
          </w:p>
        </w:tc>
        <w:tc>
          <w:tcPr>
            <w:tcW w:w="597" w:type="dxa"/>
            <w:vAlign w:val="center"/>
          </w:tcPr>
          <w:p w14:paraId="6762545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单价</w:t>
            </w:r>
          </w:p>
        </w:tc>
        <w:tc>
          <w:tcPr>
            <w:tcW w:w="727" w:type="dxa"/>
            <w:vAlign w:val="center"/>
          </w:tcPr>
          <w:p w14:paraId="080CFAE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数量</w:t>
            </w:r>
          </w:p>
        </w:tc>
        <w:tc>
          <w:tcPr>
            <w:tcW w:w="783" w:type="dxa"/>
            <w:vAlign w:val="center"/>
          </w:tcPr>
          <w:p w14:paraId="691FA14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计量单位</w:t>
            </w:r>
          </w:p>
        </w:tc>
        <w:tc>
          <w:tcPr>
            <w:tcW w:w="767" w:type="dxa"/>
            <w:vAlign w:val="center"/>
          </w:tcPr>
          <w:p w14:paraId="09188BA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总价</w:t>
            </w:r>
          </w:p>
        </w:tc>
        <w:tc>
          <w:tcPr>
            <w:tcW w:w="866" w:type="dxa"/>
            <w:vAlign w:val="center"/>
          </w:tcPr>
          <w:p w14:paraId="5B2C0F4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是否环境标志产品</w:t>
            </w:r>
          </w:p>
        </w:tc>
        <w:tc>
          <w:tcPr>
            <w:tcW w:w="834" w:type="dxa"/>
            <w:vAlign w:val="center"/>
          </w:tcPr>
          <w:p w14:paraId="4C7B27D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是否节能产品</w:t>
            </w:r>
          </w:p>
        </w:tc>
      </w:tr>
      <w:tr w14:paraId="61DCE2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7" w:type="dxa"/>
            <w:vAlign w:val="center"/>
          </w:tcPr>
          <w:p w14:paraId="3124712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1</w:t>
            </w:r>
          </w:p>
        </w:tc>
        <w:tc>
          <w:tcPr>
            <w:tcW w:w="996" w:type="dxa"/>
            <w:shd w:val="clear" w:color="auto" w:fill="auto"/>
            <w:vAlign w:val="top"/>
          </w:tcPr>
          <w:p w14:paraId="2EF29400">
            <w:pPr>
              <w:pStyle w:val="24"/>
              <w:jc w:val="center"/>
              <w:rPr>
                <w:rFonts w:hint="eastAsia" w:ascii="宋体" w:hAnsi="宋体" w:eastAsia="宋体" w:cs="宋体"/>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双列货架</w:t>
            </w:r>
          </w:p>
        </w:tc>
        <w:tc>
          <w:tcPr>
            <w:tcW w:w="716" w:type="dxa"/>
            <w:vAlign w:val="center"/>
          </w:tcPr>
          <w:p w14:paraId="7A5E67A4">
            <w:pPr>
              <w:widowControl/>
              <w:jc w:val="center"/>
              <w:rPr>
                <w:rFonts w:hint="eastAsia" w:ascii="宋体" w:hAnsi="宋体" w:eastAsia="宋体" w:cs="宋体"/>
                <w:color w:val="auto"/>
                <w:sz w:val="24"/>
                <w:szCs w:val="24"/>
                <w:highlight w:val="none"/>
              </w:rPr>
            </w:pPr>
          </w:p>
        </w:tc>
        <w:tc>
          <w:tcPr>
            <w:tcW w:w="716" w:type="dxa"/>
            <w:vAlign w:val="center"/>
          </w:tcPr>
          <w:p w14:paraId="78517A2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16" w:type="dxa"/>
            <w:vAlign w:val="center"/>
          </w:tcPr>
          <w:p w14:paraId="702EA34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16" w:type="dxa"/>
            <w:vAlign w:val="center"/>
          </w:tcPr>
          <w:p w14:paraId="32B4609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16" w:type="dxa"/>
            <w:shd w:val="clear" w:color="auto" w:fill="auto"/>
            <w:vAlign w:val="center"/>
          </w:tcPr>
          <w:p w14:paraId="5E2306E8">
            <w:pPr>
              <w:keepNext w:val="0"/>
              <w:keepLines w:val="0"/>
              <w:widowControl/>
              <w:suppressLineNumbers w:val="0"/>
              <w:spacing w:line="240" w:lineRule="auto"/>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w:t>
            </w:r>
          </w:p>
        </w:tc>
        <w:tc>
          <w:tcPr>
            <w:tcW w:w="597" w:type="dxa"/>
            <w:vAlign w:val="center"/>
          </w:tcPr>
          <w:p w14:paraId="5478156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27" w:type="dxa"/>
            <w:shd w:val="clear" w:color="auto" w:fill="auto"/>
            <w:vAlign w:val="center"/>
          </w:tcPr>
          <w:p w14:paraId="194F0741">
            <w:pPr>
              <w:keepNext w:val="0"/>
              <w:keepLines w:val="0"/>
              <w:widowControl/>
              <w:suppressLineNumbers w:val="0"/>
              <w:spacing w:line="240" w:lineRule="auto"/>
              <w:jc w:val="center"/>
              <w:textAlignment w:val="center"/>
              <w:rPr>
                <w:rFonts w:hint="default"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w:t>
            </w:r>
          </w:p>
        </w:tc>
        <w:tc>
          <w:tcPr>
            <w:tcW w:w="783" w:type="dxa"/>
            <w:vAlign w:val="center"/>
          </w:tcPr>
          <w:p w14:paraId="2A1A0045">
            <w:pPr>
              <w:keepNext w:val="0"/>
              <w:keepLines w:val="0"/>
              <w:widowControl/>
              <w:suppressLineNumbers w:val="0"/>
              <w:spacing w:line="240" w:lineRule="auto"/>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auto"/>
                <w:kern w:val="0"/>
                <w:sz w:val="24"/>
                <w:szCs w:val="24"/>
                <w:highlight w:val="none"/>
                <w:u w:val="none"/>
                <w:lang w:val="en-US" w:eastAsia="zh-CN" w:bidi="ar"/>
              </w:rPr>
              <w:t>个</w:t>
            </w:r>
          </w:p>
        </w:tc>
        <w:tc>
          <w:tcPr>
            <w:tcW w:w="767" w:type="dxa"/>
            <w:vAlign w:val="center"/>
          </w:tcPr>
          <w:p w14:paraId="502CA0C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866" w:type="dxa"/>
            <w:vAlign w:val="center"/>
          </w:tcPr>
          <w:p w14:paraId="5BE9571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834" w:type="dxa"/>
            <w:vAlign w:val="center"/>
          </w:tcPr>
          <w:p w14:paraId="07A5E5B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r>
      <w:tr w14:paraId="02BDA0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7" w:type="dxa"/>
            <w:vAlign w:val="center"/>
          </w:tcPr>
          <w:p w14:paraId="1DDF324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996" w:type="dxa"/>
            <w:shd w:val="clear" w:color="auto" w:fill="auto"/>
            <w:vAlign w:val="top"/>
          </w:tcPr>
          <w:p w14:paraId="178E57BA">
            <w:pPr>
              <w:pStyle w:val="24"/>
              <w:jc w:val="center"/>
              <w:rPr>
                <w:rFonts w:hint="eastAsia" w:ascii="宋体" w:hAnsi="宋体" w:eastAsia="宋体" w:cs="宋体"/>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单列货架</w:t>
            </w:r>
          </w:p>
        </w:tc>
        <w:tc>
          <w:tcPr>
            <w:tcW w:w="716" w:type="dxa"/>
            <w:vAlign w:val="center"/>
          </w:tcPr>
          <w:p w14:paraId="002BE0E0">
            <w:pPr>
              <w:widowControl/>
              <w:jc w:val="center"/>
              <w:rPr>
                <w:rFonts w:hint="eastAsia" w:ascii="宋体" w:hAnsi="宋体" w:eastAsia="宋体" w:cs="宋体"/>
                <w:color w:val="auto"/>
                <w:sz w:val="24"/>
                <w:szCs w:val="24"/>
                <w:highlight w:val="none"/>
              </w:rPr>
            </w:pPr>
          </w:p>
        </w:tc>
        <w:tc>
          <w:tcPr>
            <w:tcW w:w="716" w:type="dxa"/>
            <w:vAlign w:val="center"/>
          </w:tcPr>
          <w:p w14:paraId="2504A4A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16" w:type="dxa"/>
            <w:vAlign w:val="center"/>
          </w:tcPr>
          <w:p w14:paraId="26A1EEE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16" w:type="dxa"/>
            <w:vAlign w:val="center"/>
          </w:tcPr>
          <w:p w14:paraId="4318C1B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16" w:type="dxa"/>
            <w:shd w:val="clear" w:color="auto" w:fill="auto"/>
            <w:vAlign w:val="center"/>
          </w:tcPr>
          <w:p w14:paraId="3CC63AFF">
            <w:pPr>
              <w:keepNext w:val="0"/>
              <w:keepLines w:val="0"/>
              <w:widowControl/>
              <w:suppressLineNumbers w:val="0"/>
              <w:spacing w:line="240" w:lineRule="auto"/>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w:t>
            </w:r>
          </w:p>
        </w:tc>
        <w:tc>
          <w:tcPr>
            <w:tcW w:w="597" w:type="dxa"/>
            <w:vAlign w:val="center"/>
          </w:tcPr>
          <w:p w14:paraId="0A735A9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27" w:type="dxa"/>
            <w:shd w:val="clear" w:color="auto" w:fill="auto"/>
            <w:vAlign w:val="center"/>
          </w:tcPr>
          <w:p w14:paraId="176510D1">
            <w:pPr>
              <w:keepNext w:val="0"/>
              <w:keepLines w:val="0"/>
              <w:widowControl/>
              <w:suppressLineNumbers w:val="0"/>
              <w:spacing w:line="240" w:lineRule="auto"/>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w:t>
            </w:r>
          </w:p>
        </w:tc>
        <w:tc>
          <w:tcPr>
            <w:tcW w:w="783" w:type="dxa"/>
            <w:vAlign w:val="center"/>
          </w:tcPr>
          <w:p w14:paraId="529E2CF3">
            <w:pPr>
              <w:keepNext w:val="0"/>
              <w:keepLines w:val="0"/>
              <w:widowControl/>
              <w:suppressLineNumbers w:val="0"/>
              <w:spacing w:line="240" w:lineRule="auto"/>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个</w:t>
            </w:r>
          </w:p>
        </w:tc>
        <w:tc>
          <w:tcPr>
            <w:tcW w:w="767" w:type="dxa"/>
            <w:vAlign w:val="center"/>
          </w:tcPr>
          <w:p w14:paraId="663EDE6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866" w:type="dxa"/>
            <w:vAlign w:val="center"/>
          </w:tcPr>
          <w:p w14:paraId="0E70707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834" w:type="dxa"/>
            <w:vAlign w:val="center"/>
          </w:tcPr>
          <w:p w14:paraId="514D6AD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r>
      <w:tr w14:paraId="505EC8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7" w:type="dxa"/>
            <w:vAlign w:val="center"/>
          </w:tcPr>
          <w:p w14:paraId="4FC3739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996" w:type="dxa"/>
            <w:shd w:val="clear" w:color="auto" w:fill="auto"/>
            <w:vAlign w:val="top"/>
          </w:tcPr>
          <w:p w14:paraId="3B109712">
            <w:pPr>
              <w:pStyle w:val="24"/>
              <w:jc w:val="center"/>
              <w:rPr>
                <w:rFonts w:hint="eastAsia" w:ascii="宋体" w:hAnsi="宋体" w:eastAsia="宋体" w:cs="宋体"/>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器械打包台</w:t>
            </w:r>
          </w:p>
        </w:tc>
        <w:tc>
          <w:tcPr>
            <w:tcW w:w="716" w:type="dxa"/>
            <w:vAlign w:val="center"/>
          </w:tcPr>
          <w:p w14:paraId="3FAFD498">
            <w:pPr>
              <w:widowControl/>
              <w:jc w:val="center"/>
              <w:rPr>
                <w:rFonts w:hint="eastAsia" w:ascii="宋体" w:hAnsi="宋体" w:eastAsia="宋体" w:cs="宋体"/>
                <w:color w:val="auto"/>
                <w:sz w:val="24"/>
                <w:szCs w:val="24"/>
                <w:highlight w:val="none"/>
              </w:rPr>
            </w:pPr>
          </w:p>
        </w:tc>
        <w:tc>
          <w:tcPr>
            <w:tcW w:w="716" w:type="dxa"/>
            <w:vAlign w:val="center"/>
          </w:tcPr>
          <w:p w14:paraId="1E13B0F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16" w:type="dxa"/>
            <w:vAlign w:val="center"/>
          </w:tcPr>
          <w:p w14:paraId="7C17C5D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16" w:type="dxa"/>
            <w:vAlign w:val="center"/>
          </w:tcPr>
          <w:p w14:paraId="3323813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16" w:type="dxa"/>
            <w:shd w:val="clear" w:color="auto" w:fill="auto"/>
            <w:vAlign w:val="center"/>
          </w:tcPr>
          <w:p w14:paraId="57B3934E">
            <w:pPr>
              <w:keepNext w:val="0"/>
              <w:keepLines w:val="0"/>
              <w:widowControl/>
              <w:suppressLineNumbers w:val="0"/>
              <w:spacing w:line="240" w:lineRule="auto"/>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w:t>
            </w:r>
          </w:p>
        </w:tc>
        <w:tc>
          <w:tcPr>
            <w:tcW w:w="597" w:type="dxa"/>
            <w:vAlign w:val="center"/>
          </w:tcPr>
          <w:p w14:paraId="4C777DB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27" w:type="dxa"/>
            <w:shd w:val="clear" w:color="auto" w:fill="auto"/>
            <w:vAlign w:val="center"/>
          </w:tcPr>
          <w:p w14:paraId="1F2C8643">
            <w:pPr>
              <w:keepNext w:val="0"/>
              <w:keepLines w:val="0"/>
              <w:widowControl/>
              <w:suppressLineNumbers w:val="0"/>
              <w:spacing w:line="240" w:lineRule="auto"/>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w:t>
            </w:r>
          </w:p>
        </w:tc>
        <w:tc>
          <w:tcPr>
            <w:tcW w:w="783" w:type="dxa"/>
            <w:vAlign w:val="center"/>
          </w:tcPr>
          <w:p w14:paraId="09644845">
            <w:pPr>
              <w:keepNext w:val="0"/>
              <w:keepLines w:val="0"/>
              <w:widowControl/>
              <w:suppressLineNumbers w:val="0"/>
              <w:spacing w:line="240" w:lineRule="auto"/>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台</w:t>
            </w:r>
          </w:p>
        </w:tc>
        <w:tc>
          <w:tcPr>
            <w:tcW w:w="767" w:type="dxa"/>
            <w:vAlign w:val="center"/>
          </w:tcPr>
          <w:p w14:paraId="1BD4CE1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866" w:type="dxa"/>
            <w:vAlign w:val="center"/>
          </w:tcPr>
          <w:p w14:paraId="46B3B2D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834" w:type="dxa"/>
            <w:vAlign w:val="center"/>
          </w:tcPr>
          <w:p w14:paraId="2423CF0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r>
    </w:tbl>
    <w:p w14:paraId="78B0EF7F">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sz w:val="24"/>
        </w:rPr>
      </w:pPr>
      <w:r>
        <w:rPr>
          <w:rFonts w:hint="eastAsia" w:ascii="宋体" w:hAnsi="宋体" w:eastAsia="宋体" w:cs="宋体"/>
          <w:color w:val="333333"/>
          <w:kern w:val="0"/>
          <w:sz w:val="24"/>
          <w:shd w:val="clear" w:color="auto" w:fill="FFFFFF"/>
          <w:lang w:bidi="ar"/>
        </w:rPr>
        <w:t>备注：无</w:t>
      </w:r>
    </w:p>
    <w:p w14:paraId="5687A928">
      <w:pPr>
        <w:pStyle w:val="15"/>
        <w:keepNext w:val="0"/>
        <w:keepLines w:val="0"/>
        <w:pageBreakBefore w:val="0"/>
        <w:widowControl/>
        <w:kinsoku/>
        <w:overflowPunct/>
        <w:topLinePunct w:val="0"/>
        <w:bidi w:val="0"/>
        <w:snapToGrid/>
        <w:spacing w:beforeAutospacing="0" w:afterAutospacing="0" w:line="240" w:lineRule="auto"/>
        <w:textAlignment w:val="auto"/>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　　（全称并加盖公章）　　</w:t>
      </w:r>
    </w:p>
    <w:p w14:paraId="3F0F5F81">
      <w:pPr>
        <w:pStyle w:val="15"/>
        <w:keepNext w:val="0"/>
        <w:keepLines w:val="0"/>
        <w:pageBreakBefore w:val="0"/>
        <w:widowControl/>
        <w:kinsoku/>
        <w:overflowPunct/>
        <w:topLinePunct w:val="0"/>
        <w:bidi w:val="0"/>
        <w:snapToGrid/>
        <w:spacing w:beforeAutospacing="0" w:afterAutospacing="0" w:line="240" w:lineRule="auto"/>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1BF9BC21">
      <w:pPr>
        <w:keepNext w:val="0"/>
        <w:keepLines w:val="0"/>
        <w:pageBreakBefore w:val="0"/>
        <w:widowControl/>
        <w:shd w:val="clear" w:color="auto" w:fill="FFFFFF"/>
        <w:kinsoku/>
        <w:overflowPunct/>
        <w:topLinePunct w:val="0"/>
        <w:bidi w:val="0"/>
        <w:snapToGrid/>
        <w:spacing w:line="240" w:lineRule="auto"/>
        <w:textAlignment w:val="auto"/>
        <w:rPr>
          <w:rFonts w:hint="eastAsia" w:ascii="宋体" w:hAnsi="宋体" w:eastAsia="宋体" w:cs="宋体"/>
          <w:color w:val="333333"/>
          <w:sz w:val="24"/>
        </w:rPr>
      </w:pPr>
      <w:r>
        <w:rPr>
          <w:rFonts w:hint="eastAsia" w:ascii="宋体" w:hAnsi="宋体" w:eastAsia="宋体" w:cs="宋体"/>
          <w:color w:val="333333"/>
          <w:kern w:val="0"/>
          <w:sz w:val="24"/>
          <w:shd w:val="clear" w:color="auto" w:fill="FFFFFF"/>
          <w:lang w:bidi="ar"/>
        </w:rPr>
        <w:t>                   </w:t>
      </w:r>
    </w:p>
    <w:p w14:paraId="72469F3F">
      <w:pPr>
        <w:keepNext w:val="0"/>
        <w:keepLines w:val="0"/>
        <w:pageBreakBefore w:val="0"/>
        <w:widowControl/>
        <w:shd w:val="clear" w:color="auto" w:fill="FFFFFF"/>
        <w:kinsoku/>
        <w:overflowPunct/>
        <w:topLinePunct w:val="0"/>
        <w:bidi w:val="0"/>
        <w:snapToGrid/>
        <w:spacing w:line="240" w:lineRule="auto"/>
        <w:textAlignment w:val="auto"/>
        <w:rPr>
          <w:rFonts w:hint="eastAsia" w:ascii="宋体" w:hAnsi="宋体" w:eastAsia="宋体" w:cs="宋体"/>
          <w:color w:val="333333"/>
          <w:sz w:val="24"/>
        </w:rPr>
      </w:pPr>
      <w:r>
        <w:rPr>
          <w:rFonts w:hint="eastAsia" w:ascii="宋体" w:hAnsi="宋体" w:eastAsia="宋体" w:cs="宋体"/>
          <w:color w:val="333333"/>
          <w:kern w:val="0"/>
          <w:sz w:val="24"/>
          <w:shd w:val="clear" w:color="auto" w:fill="FFFFFF"/>
          <w:lang w:bidi="ar"/>
        </w:rPr>
        <w:t>               </w:t>
      </w:r>
    </w:p>
    <w:p w14:paraId="6170F05F">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333333"/>
          <w:sz w:val="27"/>
          <w:szCs w:val="27"/>
          <w:shd w:val="clear" w:color="auto" w:fill="FFFFFF"/>
        </w:rPr>
      </w:pPr>
      <w:r>
        <w:rPr>
          <w:rFonts w:hint="eastAsia" w:ascii="宋体" w:hAnsi="宋体" w:eastAsia="宋体" w:cs="宋体"/>
          <w:b/>
          <w:bCs/>
          <w:color w:val="333333"/>
          <w:sz w:val="27"/>
          <w:szCs w:val="27"/>
          <w:shd w:val="clear" w:color="auto" w:fill="FFFFFF"/>
        </w:rPr>
        <w:br w:type="page"/>
      </w:r>
    </w:p>
    <w:p w14:paraId="72A1F491">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附件3资格证明文件</w:t>
      </w:r>
    </w:p>
    <w:p w14:paraId="09AF90DA">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附件3-1参加竞争性磋商的声明函（若有）</w:t>
      </w:r>
    </w:p>
    <w:p w14:paraId="1116B06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79761CC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1、关于贵方</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日项目（项目编号:</w:t>
      </w:r>
      <w:r>
        <w:rPr>
          <w:rFonts w:hint="eastAsia" w:ascii="宋体" w:hAnsi="宋体" w:eastAsia="宋体" w:cs="宋体"/>
          <w:u w:val="single"/>
        </w:rPr>
        <w:t>                    </w:t>
      </w:r>
      <w:r>
        <w:rPr>
          <w:rFonts w:hint="eastAsia" w:ascii="宋体" w:hAnsi="宋体" w:eastAsia="宋体" w:cs="宋体"/>
        </w:rPr>
        <w:t>）的采购公告（或采购邀请），本签字人代表供应商参加竞争性磋商，我方提供竞争性磋商文件中规定的相应资料和说明。本签字人确认响应文件中所有提交的文件、声明或资料（包括但不限于资格证明文件）是真实的、合法的、准确的、有效的。</w:t>
      </w:r>
    </w:p>
    <w:p w14:paraId="24AEA7B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2、供应商的基本概况：</w:t>
      </w:r>
    </w:p>
    <w:p w14:paraId="0EB2592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2.1供应商单位名称：</w:t>
      </w:r>
      <w:r>
        <w:rPr>
          <w:rFonts w:hint="eastAsia" w:ascii="宋体" w:hAnsi="宋体" w:eastAsia="宋体" w:cs="宋体"/>
          <w:u w:val="single"/>
        </w:rPr>
        <w:t>           　　 　　 　　</w:t>
      </w:r>
    </w:p>
    <w:p w14:paraId="250A889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2.2注册地址：</w:t>
      </w:r>
      <w:r>
        <w:rPr>
          <w:rFonts w:hint="eastAsia" w:ascii="宋体" w:hAnsi="宋体" w:eastAsia="宋体" w:cs="宋体"/>
          <w:u w:val="single"/>
        </w:rPr>
        <w:t>           　　 　　 　　 　　</w:t>
      </w:r>
    </w:p>
    <w:p w14:paraId="387FC12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2.3单位负责人姓名：</w:t>
      </w:r>
      <w:r>
        <w:rPr>
          <w:rFonts w:hint="eastAsia" w:ascii="宋体" w:hAnsi="宋体" w:eastAsia="宋体" w:cs="宋体"/>
          <w:u w:val="single"/>
        </w:rPr>
        <w:t>  　　 　　 </w:t>
      </w:r>
      <w:r>
        <w:rPr>
          <w:rFonts w:hint="eastAsia" w:ascii="宋体" w:hAnsi="宋体" w:eastAsia="宋体" w:cs="宋体"/>
        </w:rPr>
        <w:t>性别：</w:t>
      </w:r>
      <w:r>
        <w:rPr>
          <w:rFonts w:hint="eastAsia" w:ascii="宋体" w:hAnsi="宋体" w:eastAsia="宋体" w:cs="宋体"/>
          <w:u w:val="single"/>
        </w:rPr>
        <w:t>  　　 </w:t>
      </w:r>
      <w:r>
        <w:rPr>
          <w:rFonts w:hint="eastAsia" w:ascii="宋体" w:hAnsi="宋体" w:eastAsia="宋体" w:cs="宋体"/>
        </w:rPr>
        <w:t>年龄：</w:t>
      </w:r>
      <w:r>
        <w:rPr>
          <w:rFonts w:hint="eastAsia" w:ascii="宋体" w:hAnsi="宋体" w:eastAsia="宋体" w:cs="宋体"/>
          <w:u w:val="single"/>
        </w:rPr>
        <w:t>  　　 </w:t>
      </w:r>
      <w:r>
        <w:rPr>
          <w:rFonts w:hint="eastAsia" w:ascii="宋体" w:hAnsi="宋体" w:eastAsia="宋体" w:cs="宋体"/>
        </w:rPr>
        <w:t>职务：</w:t>
      </w:r>
      <w:r>
        <w:rPr>
          <w:rFonts w:hint="eastAsia" w:ascii="宋体" w:hAnsi="宋体" w:eastAsia="宋体" w:cs="宋体"/>
          <w:u w:val="single"/>
        </w:rPr>
        <w:t>  　　 　　 </w:t>
      </w:r>
      <w:r>
        <w:rPr>
          <w:rFonts w:hint="eastAsia" w:ascii="宋体" w:hAnsi="宋体" w:eastAsia="宋体" w:cs="宋体"/>
        </w:rPr>
        <w:t>。</w:t>
      </w:r>
    </w:p>
    <w:p w14:paraId="429634E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备注：“单位负责人”指单位法定代表人（供应商为法人的）或法律、法规规定代表单位行使职权的主要负责人（供应商为其他组织的）。</w:t>
      </w:r>
    </w:p>
    <w:p w14:paraId="0C2CD45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对于接受联合体形式的磋商且供应商是联合体的，则联合体各成员都应当提交本资格证明文件。</w:t>
      </w:r>
    </w:p>
    <w:p w14:paraId="6F8B1C87">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kern w:val="0"/>
          <w:sz w:val="24"/>
          <w:lang w:bidi="ar"/>
        </w:rPr>
        <w:br w:type="textWrapping"/>
      </w:r>
    </w:p>
    <w:p w14:paraId="1560BBD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36D96C6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　　　　</w:t>
      </w:r>
    </w:p>
    <w:p w14:paraId="6D23192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594B0BD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7C301CD7">
      <w:pPr>
        <w:keepNext w:val="0"/>
        <w:keepLines w:val="0"/>
        <w:pageBreakBefore w:val="0"/>
        <w:kinsoku/>
        <w:overflowPunct/>
        <w:topLinePunct w:val="0"/>
        <w:bidi w:val="0"/>
        <w:snapToGrid/>
        <w:spacing w:line="240" w:lineRule="auto"/>
        <w:textAlignment w:val="auto"/>
        <w:rPr>
          <w:rFonts w:hint="eastAsia" w:ascii="宋体" w:hAnsi="宋体" w:eastAsia="宋体" w:cs="宋体"/>
          <w:b/>
          <w:bCs/>
          <w:sz w:val="24"/>
        </w:rPr>
      </w:pPr>
      <w:r>
        <w:rPr>
          <w:rFonts w:hint="eastAsia" w:ascii="宋体" w:hAnsi="宋体" w:eastAsia="宋体" w:cs="宋体"/>
          <w:b/>
          <w:bCs/>
          <w:sz w:val="24"/>
        </w:rPr>
        <w:br w:type="page"/>
      </w:r>
    </w:p>
    <w:p w14:paraId="5B160A2B">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附件3-2供应商的资格声明</w:t>
      </w:r>
    </w:p>
    <w:p w14:paraId="70BE1FE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3AA86C2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1、我方已知晓竞争性磋商文件要求并认真审核自身情况，在此郑重声明，我方具备并满足下列各项条款的规定。本声明如有虚假或不实之处，我方将失去合格供应商资格且我方的磋商保证金将不予退还。</w:t>
      </w:r>
    </w:p>
    <w:tbl>
      <w:tblPr>
        <w:tblStyle w:val="19"/>
        <w:tblW w:w="0" w:type="auto"/>
        <w:tblInd w:w="0" w:type="dxa"/>
        <w:tblLayout w:type="autofit"/>
        <w:tblCellMar>
          <w:top w:w="0" w:type="dxa"/>
          <w:left w:w="0" w:type="dxa"/>
          <w:bottom w:w="0" w:type="dxa"/>
          <w:right w:w="0" w:type="dxa"/>
        </w:tblCellMar>
      </w:tblPr>
      <w:tblGrid>
        <w:gridCol w:w="7535"/>
        <w:gridCol w:w="2343"/>
      </w:tblGrid>
      <w:tr w14:paraId="4F066A41">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2DC99F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b/>
                <w:bCs/>
              </w:rPr>
            </w:pPr>
            <w:r>
              <w:rPr>
                <w:rFonts w:hint="eastAsia" w:ascii="宋体" w:hAnsi="宋体" w:eastAsia="宋体" w:cs="宋体"/>
                <w:b/>
                <w:bCs/>
              </w:rPr>
              <w:t>《中华人民共和国政府采购法》第二十二条对供应商的要求</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FE5745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b/>
                <w:bCs/>
              </w:rPr>
            </w:pPr>
            <w:r>
              <w:rPr>
                <w:rFonts w:hint="eastAsia" w:ascii="宋体" w:hAnsi="宋体" w:eastAsia="宋体" w:cs="宋体"/>
                <w:b/>
                <w:bCs/>
              </w:rPr>
              <w:t>供应商对是否符合要求做如实声明</w:t>
            </w:r>
          </w:p>
        </w:tc>
      </w:tr>
      <w:tr w14:paraId="1CA6B50F">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5C32F0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（1）具有独立承担民事责任的能力</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07EA6C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5DE7F652">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DE361B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（2）具有良好的商业信誉和健全的财务会计制度</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A6AED05">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22192791">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04CD46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（3）具有履行合同所必需的设备和专业技术能力</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E9D41BC">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51ADE0A1">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CD32DE6">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（4）有依法缴纳税收和社会保障资金的良好记录</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9C465D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7C8B6774">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8A45E4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（5）参加政府采购活动前三年内，在经营活动中没有重大违法记录</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0C44D6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260A093B">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CD380C6">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（6）法律、行政法规规定的其他条件。</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199E3B5">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032FBB07">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4FE5C2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b/>
                <w:bCs/>
              </w:rPr>
            </w:pPr>
            <w:r>
              <w:rPr>
                <w:rFonts w:hint="eastAsia" w:ascii="宋体" w:hAnsi="宋体" w:eastAsia="宋体" w:cs="宋体"/>
                <w:b/>
                <w:bCs/>
              </w:rPr>
              <w:t>磋商文件对合格供应商的一般规定</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10ED2D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b/>
                <w:bCs/>
              </w:rPr>
            </w:pPr>
            <w:r>
              <w:rPr>
                <w:rFonts w:hint="eastAsia" w:ascii="宋体" w:hAnsi="宋体" w:eastAsia="宋体" w:cs="宋体"/>
                <w:b/>
                <w:bCs/>
              </w:rPr>
              <w:t>供应商对是否违反一般规定做如实声明</w:t>
            </w:r>
          </w:p>
        </w:tc>
      </w:tr>
      <w:tr w14:paraId="020A763D">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B935B7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供应商除了应遵守政府采购法及实施条例、政府采购非招标采购方式管理办法及财政部、福建省财政厅有关政府采购文件的规定外，还应遵守有关法律、法规和规章的强制性规定。</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891D3B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090C3412">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EB93CE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为采购项目提供整体设计、规范编制或项目管理、监理、检测等服务的供应商，不得再参加该采购项目除整体设计、规范编制和项目管理、监理、检测等服务之外的其他采购活动。</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F39AC1C">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48EB9E12">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7E39D4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列入失信被执行人、重大税收违法案件当事人名单、政府采购严重违法失信行为记录名单的供应商，不得参加政府采购活动。</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E053E53">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bl>
    <w:p w14:paraId="21A7CA0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2、我方对上述声明的真实性、合法性、准确性、有效性负责，并愿意根据磋商文件和磋商过程中贵方要求提供全部现有资料、数据、文件等予以证实。</w:t>
      </w:r>
    </w:p>
    <w:p w14:paraId="119AEE8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备注：对于接受联合体形式的磋商且供应商是联合体的，则联合体各成员都应当提交本资格证明文件。</w:t>
      </w:r>
    </w:p>
    <w:p w14:paraId="7959D0F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79B7E74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　　　　</w:t>
      </w:r>
    </w:p>
    <w:p w14:paraId="4B1B442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3F061D2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7E7B3906">
      <w:pPr>
        <w:keepNext w:val="0"/>
        <w:keepLines w:val="0"/>
        <w:pageBreakBefore w:val="0"/>
        <w:kinsoku/>
        <w:overflowPunct/>
        <w:topLinePunct w:val="0"/>
        <w:bidi w:val="0"/>
        <w:snapToGrid/>
        <w:spacing w:line="240" w:lineRule="auto"/>
        <w:textAlignment w:val="auto"/>
        <w:rPr>
          <w:rFonts w:hint="eastAsia" w:ascii="宋体" w:hAnsi="宋体" w:eastAsia="宋体" w:cs="宋体"/>
          <w:b/>
          <w:bCs/>
          <w:sz w:val="24"/>
        </w:rPr>
      </w:pPr>
      <w:r>
        <w:rPr>
          <w:rFonts w:hint="eastAsia" w:ascii="宋体" w:hAnsi="宋体" w:eastAsia="宋体" w:cs="宋体"/>
          <w:b/>
          <w:bCs/>
          <w:sz w:val="24"/>
        </w:rPr>
        <w:br w:type="page"/>
      </w:r>
    </w:p>
    <w:p w14:paraId="2209012F">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附件3-3单位负责人授权书</w:t>
      </w:r>
    </w:p>
    <w:p w14:paraId="5B559BD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78EA305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我方的单位负责人</w:t>
      </w:r>
      <w:r>
        <w:rPr>
          <w:rFonts w:hint="eastAsia" w:ascii="宋体" w:hAnsi="宋体" w:eastAsia="宋体" w:cs="宋体"/>
          <w:u w:val="single"/>
        </w:rPr>
        <w:t>（填写“单位负责人全名”） </w:t>
      </w:r>
      <w:r>
        <w:rPr>
          <w:rFonts w:hint="eastAsia" w:ascii="宋体" w:hAnsi="宋体" w:eastAsia="宋体" w:cs="宋体"/>
        </w:rPr>
        <w:t>授权</w:t>
      </w:r>
      <w:r>
        <w:rPr>
          <w:rFonts w:hint="eastAsia" w:ascii="宋体" w:hAnsi="宋体" w:eastAsia="宋体" w:cs="宋体"/>
          <w:u w:val="single"/>
        </w:rPr>
        <w:t>（填写“供应商代表全名”）</w:t>
      </w:r>
      <w:r>
        <w:rPr>
          <w:rFonts w:hint="eastAsia" w:ascii="宋体" w:hAnsi="宋体" w:eastAsia="宋体" w:cs="宋体"/>
        </w:rPr>
        <w:t>为我方的供应商代表，代表我方参加</w:t>
      </w:r>
      <w:r>
        <w:rPr>
          <w:rFonts w:hint="eastAsia" w:ascii="宋体" w:hAnsi="宋体" w:eastAsia="宋体" w:cs="宋体"/>
          <w:u w:val="single"/>
        </w:rPr>
        <w:t>（填写“项目名称”）</w:t>
      </w:r>
      <w:r>
        <w:rPr>
          <w:rFonts w:hint="eastAsia" w:ascii="宋体" w:hAnsi="宋体" w:eastAsia="宋体" w:cs="宋体"/>
        </w:rPr>
        <w:t>项目（项目编号：</w:t>
      </w:r>
      <w:r>
        <w:rPr>
          <w:rFonts w:hint="eastAsia" w:ascii="宋体" w:hAnsi="宋体" w:eastAsia="宋体" w:cs="宋体"/>
          <w:u w:val="single"/>
        </w:rPr>
        <w:t>　　　　　</w:t>
      </w:r>
      <w:r>
        <w:rPr>
          <w:rFonts w:hint="eastAsia" w:ascii="宋体" w:hAnsi="宋体" w:eastAsia="宋体" w:cs="宋体"/>
        </w:rPr>
        <w:t>）的响应磋商，全权代表我方处理响应磋商过程的一切事宜，包括但不限于：递交响应文件、参与磋商、澄清、签约等工作。供应商代表在响应磋商过程中所签署的一切文件和处理与之有关的一切事务，我方均予以认可并对此承担责任。</w:t>
      </w:r>
    </w:p>
    <w:p w14:paraId="61F9339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供应商代表无转委权。特此授权。</w:t>
      </w:r>
    </w:p>
    <w:p w14:paraId="4588E030">
      <w:pPr>
        <w:pStyle w:val="15"/>
        <w:keepNext w:val="0"/>
        <w:keepLines w:val="0"/>
        <w:pageBreakBefore w:val="0"/>
        <w:widowControl/>
        <w:kinsoku/>
        <w:overflowPunct/>
        <w:topLinePunct w:val="0"/>
        <w:bidi w:val="0"/>
        <w:snapToGrid/>
        <w:spacing w:beforeAutospacing="0" w:afterAutospacing="0" w:line="240" w:lineRule="auto"/>
        <w:ind w:firstLine="420"/>
        <w:jc w:val="center"/>
        <w:textAlignment w:val="auto"/>
        <w:rPr>
          <w:rFonts w:hint="eastAsia" w:ascii="宋体" w:hAnsi="宋体" w:eastAsia="宋体" w:cs="宋体"/>
        </w:rPr>
      </w:pPr>
      <w:r>
        <w:rPr>
          <w:rFonts w:hint="eastAsia" w:ascii="宋体" w:hAnsi="宋体" w:eastAsia="宋体" w:cs="宋体"/>
        </w:rPr>
        <w:t>（以下无正文）</w:t>
      </w:r>
    </w:p>
    <w:p w14:paraId="2E26DE5E">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kern w:val="0"/>
          <w:sz w:val="24"/>
          <w:lang w:bidi="ar"/>
        </w:rPr>
        <w:br w:type="textWrapping"/>
      </w:r>
    </w:p>
    <w:p w14:paraId="1A8FDC8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单位负责人：</w:t>
      </w:r>
      <w:r>
        <w:rPr>
          <w:rFonts w:hint="eastAsia" w:ascii="宋体" w:hAnsi="宋体" w:eastAsia="宋体" w:cs="宋体"/>
          <w:u w:val="single"/>
        </w:rPr>
        <w:t>　　　　　</w:t>
      </w:r>
      <w:r>
        <w:rPr>
          <w:rFonts w:hint="eastAsia" w:ascii="宋体" w:hAnsi="宋体" w:eastAsia="宋体" w:cs="宋体"/>
        </w:rPr>
        <w:t>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14:paraId="77408B6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w:t>
      </w:r>
      <w:r>
        <w:rPr>
          <w:rFonts w:hint="eastAsia" w:ascii="宋体" w:hAnsi="宋体" w:eastAsia="宋体" w:cs="宋体"/>
        </w:rPr>
        <w:t>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14:paraId="4C5E8F15">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11C2CF1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授权方</w:t>
      </w:r>
    </w:p>
    <w:p w14:paraId="4527209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（全称并加盖单位公章）</w:t>
      </w:r>
    </w:p>
    <w:p w14:paraId="1C009C6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单位负责人签字或盖章：</w:t>
      </w:r>
      <w:r>
        <w:rPr>
          <w:rFonts w:hint="eastAsia" w:ascii="宋体" w:hAnsi="宋体" w:eastAsia="宋体" w:cs="宋体"/>
          <w:u w:val="single"/>
        </w:rPr>
        <w:t>　　　　　　　　　　</w:t>
      </w:r>
    </w:p>
    <w:p w14:paraId="6DE99109">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79E0300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接受授权方</w:t>
      </w:r>
    </w:p>
    <w:p w14:paraId="02727CA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14:paraId="0E8AA2EE">
      <w:pPr>
        <w:pStyle w:val="15"/>
        <w:keepNext w:val="0"/>
        <w:keepLines w:val="0"/>
        <w:pageBreakBefore w:val="0"/>
        <w:widowControl/>
        <w:kinsoku/>
        <w:overflowPunct/>
        <w:topLinePunct w:val="0"/>
        <w:bidi w:val="0"/>
        <w:snapToGrid/>
        <w:spacing w:beforeAutospacing="0" w:afterAutospacing="0" w:line="240" w:lineRule="auto"/>
        <w:ind w:firstLine="420"/>
        <w:jc w:val="right"/>
        <w:textAlignment w:val="auto"/>
        <w:rPr>
          <w:rFonts w:hint="eastAsia" w:ascii="宋体" w:hAnsi="宋体" w:eastAsia="宋体" w:cs="宋体"/>
        </w:rPr>
      </w:pPr>
      <w:r>
        <w:rPr>
          <w:rFonts w:hint="eastAsia" w:ascii="宋体" w:hAnsi="宋体" w:eastAsia="宋体" w:cs="宋体"/>
        </w:rPr>
        <w:t>签署日期：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77478AA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附：单位负责人、供应商代表的身份证正反面复印件</w:t>
      </w:r>
    </w:p>
    <w:p w14:paraId="787DE881">
      <w:pPr>
        <w:pStyle w:val="15"/>
        <w:keepNext w:val="0"/>
        <w:keepLines w:val="0"/>
        <w:pageBreakBefore w:val="0"/>
        <w:widowControl/>
        <w:kinsoku/>
        <w:overflowPunct/>
        <w:topLinePunct w:val="0"/>
        <w:bidi w:val="0"/>
        <w:snapToGrid/>
        <w:spacing w:beforeAutospacing="0" w:afterAutospacing="0" w:line="240" w:lineRule="auto"/>
        <w:ind w:firstLine="420"/>
        <w:jc w:val="center"/>
        <w:textAlignment w:val="auto"/>
        <w:rPr>
          <w:rFonts w:hint="eastAsia" w:ascii="宋体" w:hAnsi="宋体" w:eastAsia="宋体" w:cs="宋体"/>
        </w:rPr>
      </w:pPr>
      <w:r>
        <w:rPr>
          <w:rFonts w:hint="eastAsia" w:ascii="宋体" w:hAnsi="宋体" w:eastAsia="宋体" w:cs="宋体"/>
        </w:rPr>
        <w:t>要求：真实、有效、清晰</w:t>
      </w:r>
    </w:p>
    <w:p w14:paraId="64B9CA7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6DF53B4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1、企业（银行、保险、石油石化、电力、电信等行业除外）、事业单位和社会团体法人的“单位负责人”指法定代表人，即与实际提交的“营业执照等证明文件”载明的一致。</w:t>
      </w:r>
    </w:p>
    <w:p w14:paraId="3A59E47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银行、保险、石油石化、电力、电信等行业：以法人身份参加磋商的，“单位负责人”指法定代表人，即与实际提交的“营业执照等证明文件”载明的一致；以非法人身份参加磋商的，“单位负责人”指代表单位行使职权的主要负责人，即与实际提交的“营业执照等证明文件”载明的一致。</w:t>
      </w:r>
    </w:p>
    <w:p w14:paraId="735F709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14:paraId="2E6530A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4、对于接受联合体形式的磋商且供应商是联合体的，则只需要联合体的牵头方提交本授权书，在纸质响应文件正本中的本授权书应为原件</w:t>
      </w:r>
    </w:p>
    <w:p w14:paraId="4E637FF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09E70C2A">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附件3-4证明材料</w:t>
      </w:r>
    </w:p>
    <w:p w14:paraId="0C841FF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333333"/>
        </w:rPr>
      </w:pPr>
      <w:r>
        <w:rPr>
          <w:rFonts w:hint="eastAsia" w:ascii="宋体" w:hAnsi="宋体" w:eastAsia="宋体" w:cs="宋体"/>
          <w:color w:val="333333"/>
          <w:shd w:val="clear" w:color="auto" w:fill="FFFFFF"/>
        </w:rPr>
        <w:t>注：根据采购文件须知前附表1第1项号的“（2）特定资格条件”要求，允许供应商采用资格承诺制的，可提供符合要求的3-4-1资格承诺函，视为满足采购文件的资格要求，供应商根据响应文件格式3-4-1、3-4-2提供其中一种证明材料，若重复提供导致的不利后果，由供应商自行负责。</w:t>
      </w:r>
    </w:p>
    <w:p w14:paraId="2CEBF63D">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附件3-4-1福建省政府采购供应商资格承诺函</w:t>
      </w:r>
    </w:p>
    <w:p w14:paraId="5FBA5B9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5DA9C7A9">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单位名称(自然人姓名):</w:t>
      </w:r>
    </w:p>
    <w:p w14:paraId="3DA6B155">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统一社会信用代码(自然人身份证号码):</w:t>
      </w:r>
    </w:p>
    <w:p w14:paraId="33786339">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法定代表人(负责人):</w:t>
      </w:r>
    </w:p>
    <w:p w14:paraId="1A8E35B4">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联系地址和电话:</w:t>
      </w:r>
    </w:p>
    <w:p w14:paraId="070A69E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我单位(本人)自愿参加本次政府采购活动，严格遵守《中华人民共和国政府采购法》及相关法律法规，坚守公开、公平公正和诚实信用等原则，依法诚信经营，并郑重承诺:</w:t>
      </w:r>
    </w:p>
    <w:p w14:paraId="5464228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一、我单位(本人)具备采购文件要求以及《中华人民共和国政府采购法》第二十二条规定的条件:</w:t>
      </w:r>
    </w:p>
    <w:p w14:paraId="212B9EE6">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1.具有独立承担民事责任的能力;</w:t>
      </w:r>
    </w:p>
    <w:p w14:paraId="27BAB049">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2.具有良好的商业信誉和健全的财务会计制度;</w:t>
      </w:r>
    </w:p>
    <w:p w14:paraId="2C487363">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3.具有履行合同所必需的设备和专业技术能力;</w:t>
      </w:r>
    </w:p>
    <w:p w14:paraId="374606EF">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4.有依法缴纳税收和社会保障资金的良好记录;</w:t>
      </w:r>
    </w:p>
    <w:p w14:paraId="38923F38">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5.参加政府采购活动前三年内，在经营活动中没有重大违法记录；</w:t>
      </w:r>
    </w:p>
    <w:p w14:paraId="2F3247E7">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6.法律、行政法规规定的其他条件。</w:t>
      </w:r>
    </w:p>
    <w:p w14:paraId="6DAFF0E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3B602F9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022B4695">
      <w:pPr>
        <w:pStyle w:val="15"/>
        <w:keepNext w:val="0"/>
        <w:keepLines w:val="0"/>
        <w:pageBreakBefore w:val="0"/>
        <w:widowControl/>
        <w:kinsoku/>
        <w:overflowPunct/>
        <w:topLinePunct w:val="0"/>
        <w:bidi w:val="0"/>
        <w:snapToGrid/>
        <w:spacing w:beforeAutospacing="0" w:afterAutospacing="0" w:line="240" w:lineRule="auto"/>
        <w:ind w:firstLine="420"/>
        <w:jc w:val="right"/>
        <w:textAlignment w:val="auto"/>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名称(单位公章):</w:t>
      </w:r>
    </w:p>
    <w:p w14:paraId="129E3D5C">
      <w:pPr>
        <w:pStyle w:val="15"/>
        <w:keepNext w:val="0"/>
        <w:keepLines w:val="0"/>
        <w:pageBreakBefore w:val="0"/>
        <w:widowControl/>
        <w:kinsoku/>
        <w:overflowPunct/>
        <w:topLinePunct w:val="0"/>
        <w:bidi w:val="0"/>
        <w:snapToGrid/>
        <w:spacing w:beforeAutospacing="0" w:afterAutospacing="0" w:line="240" w:lineRule="auto"/>
        <w:ind w:firstLine="420"/>
        <w:jc w:val="right"/>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077103C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w:t>
      </w:r>
    </w:p>
    <w:p w14:paraId="074A77E3">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1.我单位(本人)专指参加政府采购活动的供应商(含自然人)；</w:t>
      </w:r>
    </w:p>
    <w:p w14:paraId="65EA0C74">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2.资格承诺的供应商应在投标(响应)文件中按此模板提供承诺函，否则，视为未按照招标文件规定提交投标人的资格及资信文件，按资格审查不通过处理。</w:t>
      </w:r>
    </w:p>
    <w:p w14:paraId="4DC0640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color w:val="333333"/>
          <w:shd w:val="clear" w:color="auto" w:fill="FFFFFF"/>
        </w:rPr>
        <w:t> </w:t>
      </w:r>
    </w:p>
    <w:p w14:paraId="186E6FD8">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附件3-4-2证明材料</w:t>
      </w:r>
    </w:p>
    <w:p w14:paraId="2DF829C1">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营业执照等证明文件</w:t>
      </w:r>
    </w:p>
    <w:p w14:paraId="270B3FD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2D5948B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（）供应商为法人（包括企业、事业单位和社会团体）的</w:t>
      </w:r>
    </w:p>
    <w:p w14:paraId="37E2BF5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签发的我方统一社会信用代码</w:t>
      </w:r>
      <w:r>
        <w:rPr>
          <w:rFonts w:hint="eastAsia" w:ascii="宋体" w:hAnsi="宋体" w:eastAsia="宋体" w:cs="宋体"/>
          <w:u w:val="single"/>
        </w:rPr>
        <w:t>（请填写法人的具体证照名称）</w:t>
      </w:r>
      <w:r>
        <w:rPr>
          <w:rFonts w:hint="eastAsia" w:ascii="宋体" w:hAnsi="宋体" w:eastAsia="宋体" w:cs="宋体"/>
        </w:rPr>
        <w:t>复印件，该证明材料真实有效，否则我方负全部责任。</w:t>
      </w:r>
    </w:p>
    <w:p w14:paraId="120C9B5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（）供应商为非法人（包括其他组织、自然人）的</w:t>
      </w:r>
    </w:p>
    <w:p w14:paraId="2289F47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签发的我方统一社会信用代码</w:t>
      </w:r>
      <w:r>
        <w:rPr>
          <w:rFonts w:hint="eastAsia" w:ascii="宋体" w:hAnsi="宋体" w:eastAsia="宋体" w:cs="宋体"/>
          <w:u w:val="single"/>
        </w:rPr>
        <w:t>（请填写非自然人的非法人的具体证照名称）</w:t>
      </w:r>
      <w:r>
        <w:rPr>
          <w:rFonts w:hint="eastAsia" w:ascii="宋体" w:hAnsi="宋体" w:eastAsia="宋体" w:cs="宋体"/>
        </w:rPr>
        <w:t>复印件，该证明材料真实有效，否则我方负全部责任。</w:t>
      </w:r>
    </w:p>
    <w:p w14:paraId="4CF7E09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签发的我方统一社会信用代码</w:t>
      </w:r>
      <w:r>
        <w:rPr>
          <w:rFonts w:hint="eastAsia" w:ascii="宋体" w:hAnsi="宋体" w:eastAsia="宋体" w:cs="宋体"/>
          <w:u w:val="single"/>
        </w:rPr>
        <w:t>（请填写自然人的身份证件名称）</w:t>
      </w:r>
      <w:r>
        <w:rPr>
          <w:rFonts w:hint="eastAsia" w:ascii="宋体" w:hAnsi="宋体" w:eastAsia="宋体" w:cs="宋体"/>
        </w:rPr>
        <w:t>复印件，该证明材料真实有效，否则我方负全部责任。</w:t>
      </w:r>
    </w:p>
    <w:p w14:paraId="6DD0C3AA">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565D17B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566A42A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1、请供应商根据实际情况填写，在相应的（）中打“√”并选择相应的“□”（若有）后，再按照本格式的要求提供相应证明材料的复印件。</w:t>
      </w:r>
    </w:p>
    <w:p w14:paraId="342E2EB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14:paraId="0C1D3E6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3、对于接受联合体形式的磋商且供应商是联合体的，则联合体各成员都应当提交本资格证明文件。</w:t>
      </w:r>
    </w:p>
    <w:p w14:paraId="4A8A4FA5">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4D4753A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5E9D701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36A21D7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387DF5A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6804DFB">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财务状况报告</w:t>
      </w:r>
    </w:p>
    <w:p w14:paraId="509F53D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210D7CA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（）供应商提供财务报告的</w:t>
      </w:r>
    </w:p>
    <w:p w14:paraId="61579CB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□企业适用：现附上我方</w:t>
      </w:r>
      <w:r>
        <w:rPr>
          <w:rFonts w:hint="eastAsia" w:ascii="宋体" w:hAnsi="宋体" w:eastAsia="宋体" w:cs="宋体"/>
          <w:u w:val="single"/>
        </w:rPr>
        <w:t>（填写“具体的年度、或半年度、或季度”）</w:t>
      </w:r>
      <w:r>
        <w:rPr>
          <w:rFonts w:hint="eastAsia" w:ascii="宋体" w:hAnsi="宋体" w:eastAsia="宋体" w:cs="宋体"/>
        </w:rPr>
        <w:t>财务报告复印件，包括资产负债表、利润表、现金流量表、所有者权益变动表及其附注（若有）、会计师事务所营业执照和注册会计师资格证书，上述证明材料真实有效，否则我方负全部责任。</w:t>
      </w:r>
    </w:p>
    <w:p w14:paraId="6C86864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□事业单位适用：现附上我方</w:t>
      </w:r>
      <w:r>
        <w:rPr>
          <w:rFonts w:hint="eastAsia" w:ascii="宋体" w:hAnsi="宋体" w:eastAsia="宋体" w:cs="宋体"/>
          <w:u w:val="single"/>
        </w:rPr>
        <w:t>（填写“具体的年度、或半年度、或季度”）</w:t>
      </w:r>
      <w:r>
        <w:rPr>
          <w:rFonts w:hint="eastAsia" w:ascii="宋体" w:hAnsi="宋体" w:eastAsia="宋体" w:cs="宋体"/>
        </w:rPr>
        <w:t>财务报告复印件，包括资产负债表、收入支出表或收入费用表、财政补助收入支出表（若有）、会计师事务所营业执照和注册会计师资格证书，上述证明材料真实有效，否则我方负全部责任。</w:t>
      </w:r>
    </w:p>
    <w:p w14:paraId="58E75E2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□社会团体、民办非企单位适用：现附上我方</w:t>
      </w:r>
      <w:r>
        <w:rPr>
          <w:rFonts w:hint="eastAsia" w:ascii="宋体" w:hAnsi="宋体" w:eastAsia="宋体" w:cs="宋体"/>
          <w:u w:val="single"/>
        </w:rPr>
        <w:t>（填写“具体的年度、或半年度、或季度”）</w:t>
      </w:r>
      <w:r>
        <w:rPr>
          <w:rFonts w:hint="eastAsia" w:ascii="宋体" w:hAnsi="宋体" w:eastAsia="宋体" w:cs="宋体"/>
        </w:rPr>
        <w:t>财务报告复印件，包括资产负债表、业务活动表、现金流量表、会计师事务所营业执照和注册会计师资格证书，上述证明材料真实有效，否则我方负全部责任。</w:t>
      </w:r>
    </w:p>
    <w:p w14:paraId="4D79171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（）供应商提供资信证明的</w:t>
      </w:r>
    </w:p>
    <w:p w14:paraId="7875BA5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□非自然人适用（包括企业、事业单位、社会团体和其他组织）：现附上我方银行：</w:t>
      </w:r>
      <w:r>
        <w:rPr>
          <w:rFonts w:hint="eastAsia" w:ascii="宋体" w:hAnsi="宋体" w:eastAsia="宋体" w:cs="宋体"/>
          <w:u w:val="single"/>
        </w:rPr>
        <w:t>（填写“开户银行全称”）</w:t>
      </w:r>
      <w:r>
        <w:rPr>
          <w:rFonts w:hint="eastAsia" w:ascii="宋体" w:hAnsi="宋体" w:eastAsia="宋体" w:cs="宋体"/>
        </w:rPr>
        <w:t>出具的资信证明复印件，上述证明材料真实有效，否则我方负全部责任。</w:t>
      </w:r>
    </w:p>
    <w:p w14:paraId="687C4E9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□自然人适用（包括企业、事业单位、社会团体和其他组织）：现附上我方银行：</w:t>
      </w:r>
      <w:r>
        <w:rPr>
          <w:rFonts w:hint="eastAsia" w:ascii="宋体" w:hAnsi="宋体" w:eastAsia="宋体" w:cs="宋体"/>
          <w:u w:val="single"/>
        </w:rPr>
        <w:t>（填写自然人的“个人账户的开户银行全称”）</w:t>
      </w:r>
      <w:r>
        <w:rPr>
          <w:rFonts w:hint="eastAsia" w:ascii="宋体" w:hAnsi="宋体" w:eastAsia="宋体" w:cs="宋体"/>
        </w:rPr>
        <w:t>出具的资信证明复印件，上述证明材料真实有效，否则我方负全部责任。</w:t>
      </w:r>
    </w:p>
    <w:p w14:paraId="7FFEC84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※注意事项：</w:t>
      </w:r>
    </w:p>
    <w:p w14:paraId="213A307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1、请供应商按照自身实际情况编制填写，在其中相应的（）中打“√”并选择相应的“□”（若有）后，再按照本格式的要求提供相应证明材料的复印件即可。</w:t>
      </w:r>
    </w:p>
    <w:p w14:paraId="7B49F13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2、供应商提供的财务报告复印件（成立年限按照首次响应文件递交截止时间推算）应符合下列规定：</w:t>
      </w:r>
    </w:p>
    <w:p w14:paraId="0D709D7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2.1成立年限满1年及以上的供应商，提供经审计的上一年度的年度财务报告。</w:t>
      </w:r>
    </w:p>
    <w:p w14:paraId="7434A98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2.2成立年限满半年但不足1年的供应商，提供该半年度中任一季度的季度财务报告或该半年度的半年度财务报告。</w:t>
      </w:r>
    </w:p>
    <w:p w14:paraId="2167AB9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※无法按照本格式注意事项第2.1、2.2条规定提供财务报告复印件的供应商，应按照本格式注意事项的要求选择提供资信证明复印件。</w:t>
      </w:r>
    </w:p>
    <w:p w14:paraId="555D158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3、对于接受联合体形式的磋商且供应商是联合体的，则联合体各成员都应当提交本资格证明文件。</w:t>
      </w:r>
    </w:p>
    <w:p w14:paraId="6E8A310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36BEFF9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23AF0E2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440B4FB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6032A75D">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依法缴纳税收证明材料</w:t>
      </w:r>
    </w:p>
    <w:p w14:paraId="26374AE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4AA7436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1、依法缴纳税收的供应商</w:t>
      </w:r>
    </w:p>
    <w:p w14:paraId="00B5A70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（）法人（包括企业、事业单位和社会团体）的</w:t>
      </w:r>
    </w:p>
    <w:p w14:paraId="1C2882B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现附上自</w:t>
      </w:r>
      <w:r>
        <w:rPr>
          <w:rFonts w:hint="eastAsia" w:ascii="宋体" w:hAnsi="宋体" w:eastAsia="宋体" w:cs="宋体"/>
          <w:u w:val="single"/>
        </w:rPr>
        <w:t>　　年　　月　　日</w:t>
      </w:r>
      <w:r>
        <w:rPr>
          <w:rFonts w:hint="eastAsia" w:ascii="宋体" w:hAnsi="宋体" w:eastAsia="宋体" w:cs="宋体"/>
        </w:rPr>
        <w:t>至</w:t>
      </w:r>
      <w:r>
        <w:rPr>
          <w:rFonts w:hint="eastAsia" w:ascii="宋体" w:hAnsi="宋体" w:eastAsia="宋体" w:cs="宋体"/>
          <w:u w:val="single"/>
        </w:rPr>
        <w:t>　　年　　月　　日</w:t>
      </w:r>
      <w:r>
        <w:rPr>
          <w:rFonts w:hint="eastAsia" w:ascii="宋体" w:hAnsi="宋体" w:eastAsia="宋体" w:cs="宋体"/>
        </w:rPr>
        <w:t>期间我方缴纳（包括但不限于税务机关出具的专用收据、税收缴纳证明或税收代缴银行的缴款收讫凭证）等税收凭据复印件，上述证明材料真实有效，否则我方负全部责任。</w:t>
      </w:r>
    </w:p>
    <w:p w14:paraId="03D3D3A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（）非法人（包括其他组织、自然人）的</w:t>
      </w:r>
    </w:p>
    <w:p w14:paraId="6F6BB23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现附上自</w:t>
      </w:r>
      <w:r>
        <w:rPr>
          <w:rFonts w:hint="eastAsia" w:ascii="宋体" w:hAnsi="宋体" w:eastAsia="宋体" w:cs="宋体"/>
          <w:u w:val="single"/>
        </w:rPr>
        <w:t>　　年　　月　　日</w:t>
      </w:r>
      <w:r>
        <w:rPr>
          <w:rFonts w:hint="eastAsia" w:ascii="宋体" w:hAnsi="宋体" w:eastAsia="宋体" w:cs="宋体"/>
        </w:rPr>
        <w:t>至</w:t>
      </w:r>
      <w:r>
        <w:rPr>
          <w:rFonts w:hint="eastAsia" w:ascii="宋体" w:hAnsi="宋体" w:eastAsia="宋体" w:cs="宋体"/>
          <w:u w:val="single"/>
        </w:rPr>
        <w:t>　　年　　月　　日</w:t>
      </w:r>
      <w:r>
        <w:rPr>
          <w:rFonts w:hint="eastAsia" w:ascii="宋体" w:hAnsi="宋体" w:eastAsia="宋体" w:cs="宋体"/>
        </w:rPr>
        <w:t>期间我方缴纳（包括但不限于税务机关出具的专用收据、税收缴纳证明或税收代缴银行的缴款收讫凭证）等税收凭据复印件，上述证明材料真实有效，否则我方负全部责任。</w:t>
      </w:r>
    </w:p>
    <w:p w14:paraId="0B7186C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2、依法减免税收的供应商</w:t>
      </w:r>
    </w:p>
    <w:p w14:paraId="670DF5D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（）现附上我方依法免税证明材料复印件，上述证明材料真实有效，否则我方负全部责任。</w:t>
      </w:r>
    </w:p>
    <w:p w14:paraId="2EA15AAE">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25FF8FF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08A1729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1、请供应商根据实际情况填写，在相应的（）中打“√”，并按照本格式的要求提供相应证明材料的复印件。</w:t>
      </w:r>
    </w:p>
    <w:p w14:paraId="0A32D71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2、供应商提供的税收凭据复印件应符合下列规定：</w:t>
      </w:r>
    </w:p>
    <w:p w14:paraId="7AD9280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2.1首次响应文件递交截止时间前（不含截止时间的当月）已依法缴纳税收的供应商，提供首次响应文件递交截止时间前六个月（不含截止时间的当月）中任一月份的税收凭据复印件。</w:t>
      </w:r>
    </w:p>
    <w:p w14:paraId="177906A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2.2首次响应文件递交截止时间的当月成立的供应商，视同满足本项资格条件要求。</w:t>
      </w:r>
    </w:p>
    <w:p w14:paraId="6F7D663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2.3若为依法免税范围的供应商，提供依法免税证明材料的，视同满足本项资格条件要求。</w:t>
      </w:r>
    </w:p>
    <w:p w14:paraId="127792E6">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3314A8C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26D084D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024609A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74D7AA0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2C1BEB6E">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依法缴纳社会保障资金证明材料</w:t>
      </w:r>
    </w:p>
    <w:p w14:paraId="7073468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2B260F7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1、依法缴纳社会保障资金的供应商</w:t>
      </w:r>
    </w:p>
    <w:p w14:paraId="48D184F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（）法人（包括企业、事业单位和社会团体）的</w:t>
      </w:r>
    </w:p>
    <w:p w14:paraId="152FA3C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现附上自</w:t>
      </w:r>
      <w:r>
        <w:rPr>
          <w:rFonts w:hint="eastAsia" w:ascii="宋体" w:hAnsi="宋体" w:eastAsia="宋体" w:cs="宋体"/>
          <w:u w:val="single"/>
        </w:rPr>
        <w:t>　　年　　月　　日</w:t>
      </w:r>
      <w:r>
        <w:rPr>
          <w:rFonts w:hint="eastAsia" w:ascii="宋体" w:hAnsi="宋体" w:eastAsia="宋体" w:cs="宋体"/>
        </w:rPr>
        <w:t>至</w:t>
      </w:r>
      <w:r>
        <w:rPr>
          <w:rFonts w:hint="eastAsia" w:ascii="宋体" w:hAnsi="宋体" w:eastAsia="宋体" w:cs="宋体"/>
          <w:u w:val="single"/>
        </w:rPr>
        <w:t>　　年　　月　　日</w:t>
      </w:r>
      <w:r>
        <w:rPr>
          <w:rFonts w:hint="eastAsia" w:ascii="宋体" w:hAnsi="宋体" w:eastAsia="宋体" w:cs="宋体"/>
        </w:rPr>
        <w:t>我方缴纳的社会保险凭据（限：税务机关/社会保障资金管理机关的专用收据或社会保险缴纳清单，或社会保险的银行缴款收讫凭证）复印件，上述证明材料真实有效，否则我方负全部责任。</w:t>
      </w:r>
    </w:p>
    <w:p w14:paraId="4DAB185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（）非法人（包括其他组织、自然人）的</w:t>
      </w:r>
    </w:p>
    <w:p w14:paraId="6D7A829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自</w:t>
      </w:r>
      <w:r>
        <w:rPr>
          <w:rFonts w:hint="eastAsia" w:ascii="宋体" w:hAnsi="宋体" w:eastAsia="宋体" w:cs="宋体"/>
          <w:u w:val="single"/>
        </w:rPr>
        <w:t>　　年　　月　　日</w:t>
      </w:r>
      <w:r>
        <w:rPr>
          <w:rFonts w:hint="eastAsia" w:ascii="宋体" w:hAnsi="宋体" w:eastAsia="宋体" w:cs="宋体"/>
        </w:rPr>
        <w:t>至</w:t>
      </w:r>
      <w:r>
        <w:rPr>
          <w:rFonts w:hint="eastAsia" w:ascii="宋体" w:hAnsi="宋体" w:eastAsia="宋体" w:cs="宋体"/>
          <w:u w:val="single"/>
        </w:rPr>
        <w:t>　　年　　月　　日</w:t>
      </w:r>
      <w:r>
        <w:rPr>
          <w:rFonts w:hint="eastAsia" w:ascii="宋体" w:hAnsi="宋体" w:eastAsia="宋体" w:cs="宋体"/>
        </w:rPr>
        <w:t>我方缴纳的社会保险凭据（限：税务机关/社会保障资金管理机关的专用收据或社会保险缴纳清单，或社会保险的银行缴款收讫凭证）复印件，上述证明材料真实有效，否则我方负全部责任。</w:t>
      </w:r>
    </w:p>
    <w:p w14:paraId="53726DF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2、依法不需要缴纳或暂缓缴纳社会保障资金的供应商</w:t>
      </w:r>
    </w:p>
    <w:p w14:paraId="0BC6B32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（）现附上我方依法不需要缴纳社会保障资金证明材料复印件，上述证明材料真实有效，否则我方负全部责任。</w:t>
      </w:r>
    </w:p>
    <w:p w14:paraId="04D4CA63">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4AD66D3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6FF6C8C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1、请供应商根据实际情况填写，在相应的（）中打“√”，并按照本格式的要求提供相应证明材料的复印件。</w:t>
      </w:r>
    </w:p>
    <w:p w14:paraId="77E0476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2、供应商提供的社会保险凭据复印件应符合下列规定：</w:t>
      </w:r>
    </w:p>
    <w:p w14:paraId="180E376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2.1首次响应文件递交截止时间前（不含截止时间的当月）已依法缴纳社会保障资金的投供应商，提供首次响应文件递交截止时间前六个月（不含截止时间的当月）中任一月份的社会保险凭据复印件。</w:t>
      </w:r>
    </w:p>
    <w:p w14:paraId="4F54C38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2.2首次响应文件递交截止时间的当月成立的供应商，视同满足本项资格条件要求。</w:t>
      </w:r>
    </w:p>
    <w:p w14:paraId="0439FAB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2.3若为依法不需要缴纳或暂缓缴纳社会保障资金的供应商，提供依法不需要缴纳或暂缓缴纳社会保障资金证明材料的，视同满足本项资格条件要求。</w:t>
      </w:r>
    </w:p>
    <w:p w14:paraId="4FCD2FAD">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75B1851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4BCE97F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07EA9F1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6F96E2F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15D07B48">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具备履行合同所必需设备和专业技术能力证明材料</w:t>
      </w:r>
    </w:p>
    <w:p w14:paraId="708507AF">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声明函</w:t>
      </w:r>
    </w:p>
    <w:p w14:paraId="677A0C1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6F423EB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我方具备履行合同所必需的设备和专业技术能力，并对本声明承诺的真实性负责，否则产生不利后果由我方承担责任。</w:t>
      </w:r>
    </w:p>
    <w:p w14:paraId="34BCE82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特此声明。</w:t>
      </w:r>
    </w:p>
    <w:p w14:paraId="3D919547">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77E5130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38ED68C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1.磋商文件“供应商的资格”中特定资格条件如果没有特别规定，则由供应商在响应文件中按上述格式提供其具备履行合同所必需的设备和专业技术能力的声明即可，声明函应加盖供应商单位公章。。</w:t>
      </w:r>
    </w:p>
    <w:p w14:paraId="3135E00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如果根据项目的特点和需要，对履行合同所必需的设备和专业技术能力的证明材料有特别专项要求的，则采购人或采购代理机构应当在磋商文件“供应商的资格”中特定资格条件进行明确约定，供应商可以不用提供上述格式要求的声明函，但必须按特定资格条件的规定提供相应专项证明材料，并对相应证明材料的真实性负责。</w:t>
      </w:r>
    </w:p>
    <w:p w14:paraId="5040084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3.对于接受联合体形式的磋商且供应商是联合体的，则联合体各成员都应当提交本资格证明文件。</w:t>
      </w:r>
    </w:p>
    <w:p w14:paraId="104AB456">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458DFFF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540960E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28B30DA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226F4AC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596A789D">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参加采购活动前三年内在经营活动中没有重大违法记录书面声明</w:t>
      </w:r>
    </w:p>
    <w:p w14:paraId="0238A4A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4CD3B46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参加采购活动前三年内，我方在经营活动中没有重大违法记录，即没有因违法经营受到刑事处罚或责令停产停业、吊销许可证或执照、较大数额罚款等行政处罚。否则产生不利后果由我方承担责任。</w:t>
      </w:r>
    </w:p>
    <w:p w14:paraId="3D65957C">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1B9F62F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特此申明。</w:t>
      </w:r>
    </w:p>
    <w:p w14:paraId="08401850">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5370CD6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610381C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077013A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2513D0E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7D40BE7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2、请供应商根据实际情况如实声明，否则视为提供虚假材料。</w:t>
      </w:r>
    </w:p>
    <w:p w14:paraId="5945339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010DBE6">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附件3-5信用记录查询结果</w:t>
      </w:r>
    </w:p>
    <w:p w14:paraId="7B9623B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1、由磋商小组通过网站查询并打印供应商的信用记录。</w:t>
      </w:r>
    </w:p>
    <w:p w14:paraId="580326E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经查询，供应商参加本项目采购活动(响应文件递交截止时间)前三年内被列入失信被执行人名单、重大税收违法案件当事人名单、政府采购严重违法失信行为记录名单及其他重大违法记录且相关信用惩戒期限未满的，其资格审查不合格。</w:t>
      </w:r>
    </w:p>
    <w:p w14:paraId="1852771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供应商应了解自身的信用记录情况。当供应商受到200万以上罚款的行政处罚且该罚款不属较大数额罚款时，供应商应在电子响应文件中提供此项罚款不属于较大数额罚款的依据（如提供：相关法律制度的规定、行政执法机构对该罚款不属于较大数额罚款的认定或者其他有效依据）。</w:t>
      </w:r>
    </w:p>
    <w:p w14:paraId="1417CE1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3397E4B">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附件3-6联合体协议</w:t>
      </w:r>
    </w:p>
    <w:p w14:paraId="216F8F7E">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（接受联合体的项目使用）</w:t>
      </w:r>
    </w:p>
    <w:p w14:paraId="131B6C2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78AF7A8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兹有</w:t>
      </w:r>
      <w:r>
        <w:rPr>
          <w:rFonts w:hint="eastAsia" w:ascii="宋体" w:hAnsi="宋体" w:eastAsia="宋体" w:cs="宋体"/>
          <w:u w:val="single"/>
        </w:rPr>
        <w:t>（填写“联合体中各方的全称”，各方的全称之间请用“、”分割）</w:t>
      </w:r>
      <w:r>
        <w:rPr>
          <w:rFonts w:hint="eastAsia" w:ascii="宋体" w:hAnsi="宋体" w:eastAsia="宋体" w:cs="宋体"/>
        </w:rPr>
        <w:t>自愿组成联合体，共同参加</w:t>
      </w:r>
      <w:r>
        <w:rPr>
          <w:rFonts w:hint="eastAsia" w:ascii="宋体" w:hAnsi="宋体" w:eastAsia="宋体" w:cs="宋体"/>
          <w:u w:val="single"/>
        </w:rPr>
        <w:t>（填写“项目名称”）</w:t>
      </w:r>
      <w:r>
        <w:rPr>
          <w:rFonts w:hint="eastAsia" w:ascii="宋体" w:hAnsi="宋体" w:eastAsia="宋体" w:cs="宋体"/>
        </w:rPr>
        <w:t> 项目（项目编号：</w:t>
      </w:r>
      <w:r>
        <w:rPr>
          <w:rFonts w:hint="eastAsia" w:ascii="宋体" w:hAnsi="宋体" w:eastAsia="宋体" w:cs="宋体"/>
          <w:u w:val="single"/>
        </w:rPr>
        <w:t>　　　　　　</w:t>
      </w:r>
      <w:r>
        <w:rPr>
          <w:rFonts w:hint="eastAsia" w:ascii="宋体" w:hAnsi="宋体" w:eastAsia="宋体" w:cs="宋体"/>
        </w:rPr>
        <w:t>）的响应磋商。现就联合体参加本项目响应磋商的有关事宜达成下列协议：</w:t>
      </w:r>
    </w:p>
    <w:p w14:paraId="12BAA72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一、联合体各方应承担的工作和义务具体如下：</w:t>
      </w:r>
    </w:p>
    <w:p w14:paraId="794BFCC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1、牵头方（全称）：</w:t>
      </w:r>
      <w:r>
        <w:rPr>
          <w:rFonts w:hint="eastAsia" w:ascii="宋体" w:hAnsi="宋体" w:eastAsia="宋体" w:cs="宋体"/>
          <w:u w:val="single"/>
        </w:rPr>
        <w:t>（填写“工作及义务的具体内容”） </w:t>
      </w:r>
      <w:r>
        <w:rPr>
          <w:rFonts w:hint="eastAsia" w:ascii="宋体" w:hAnsi="宋体" w:eastAsia="宋体" w:cs="宋体"/>
        </w:rPr>
        <w:t>；</w:t>
      </w:r>
    </w:p>
    <w:p w14:paraId="783CB60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2、成员方：</w:t>
      </w:r>
    </w:p>
    <w:p w14:paraId="0BDC517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2.1（成员一的全称）：</w:t>
      </w:r>
      <w:r>
        <w:rPr>
          <w:rFonts w:hint="eastAsia" w:ascii="宋体" w:hAnsi="宋体" w:eastAsia="宋体" w:cs="宋体"/>
          <w:u w:val="single"/>
        </w:rPr>
        <w:t>（填写“工作及义务的具体内容”）</w:t>
      </w:r>
      <w:r>
        <w:rPr>
          <w:rFonts w:hint="eastAsia" w:ascii="宋体" w:hAnsi="宋体" w:eastAsia="宋体" w:cs="宋体"/>
        </w:rPr>
        <w:t> ；</w:t>
      </w:r>
    </w:p>
    <w:p w14:paraId="60D9E25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w:t>
      </w:r>
    </w:p>
    <w:p w14:paraId="60BFA8B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二、联合体各方的合同金额占比，具体如下：</w:t>
      </w:r>
    </w:p>
    <w:p w14:paraId="25F25D3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1.牵头方（</w:t>
      </w:r>
      <w:r>
        <w:rPr>
          <w:rFonts w:hint="eastAsia" w:ascii="宋体" w:hAnsi="宋体" w:eastAsia="宋体" w:cs="宋体"/>
          <w:u w:val="single"/>
        </w:rPr>
        <w:t> 全称</w:t>
      </w:r>
      <w:r>
        <w:rPr>
          <w:rFonts w:hint="eastAsia" w:ascii="宋体" w:hAnsi="宋体" w:eastAsia="宋体" w:cs="宋体"/>
        </w:rPr>
        <w:t> ）的合同金额占合同总额的</w:t>
      </w:r>
      <w:r>
        <w:rPr>
          <w:rFonts w:hint="eastAsia" w:ascii="宋体" w:hAnsi="宋体" w:eastAsia="宋体" w:cs="宋体"/>
          <w:u w:val="single"/>
        </w:rPr>
        <w:t>　　</w:t>
      </w:r>
      <w:r>
        <w:rPr>
          <w:rFonts w:hint="eastAsia" w:ascii="宋体" w:hAnsi="宋体" w:eastAsia="宋体" w:cs="宋体"/>
        </w:rPr>
        <w:t>%；</w:t>
      </w:r>
    </w:p>
    <w:p w14:paraId="79D738A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2.成员方：</w:t>
      </w:r>
    </w:p>
    <w:p w14:paraId="37C6E4F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w:t>
      </w:r>
      <w:r>
        <w:rPr>
          <w:rFonts w:hint="eastAsia" w:ascii="宋体" w:hAnsi="宋体" w:eastAsia="宋体" w:cs="宋体"/>
          <w:u w:val="single"/>
        </w:rPr>
        <w:t> 成员1的全称 </w:t>
      </w:r>
      <w:r>
        <w:rPr>
          <w:rFonts w:hint="eastAsia" w:ascii="宋体" w:hAnsi="宋体" w:eastAsia="宋体" w:cs="宋体"/>
        </w:rPr>
        <w:t>）的合同金额占合同总额的</w:t>
      </w:r>
      <w:r>
        <w:rPr>
          <w:rFonts w:hint="eastAsia" w:ascii="宋体" w:hAnsi="宋体" w:eastAsia="宋体" w:cs="宋体"/>
          <w:u w:val="single"/>
        </w:rPr>
        <w:t>　　</w:t>
      </w:r>
      <w:r>
        <w:rPr>
          <w:rFonts w:hint="eastAsia" w:ascii="宋体" w:hAnsi="宋体" w:eastAsia="宋体" w:cs="宋体"/>
        </w:rPr>
        <w:t>%；</w:t>
      </w:r>
    </w:p>
    <w:p w14:paraId="03A70B1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w:t>
      </w:r>
    </w:p>
    <w:p w14:paraId="12FD784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三、联合体各方约定：</w:t>
      </w:r>
    </w:p>
    <w:p w14:paraId="43DED34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1、由</w:t>
      </w:r>
      <w:r>
        <w:rPr>
          <w:rFonts w:hint="eastAsia" w:ascii="宋体" w:hAnsi="宋体" w:eastAsia="宋体" w:cs="宋体"/>
          <w:u w:val="single"/>
        </w:rPr>
        <w:t>（填写“牵头方的全称”）代表联合体办理参加本项目报价的有关事宜（包括但不限于：注册账号、派出供应商人代表、提交电子响应文件及参加开标、谈判、澄清等），在此过程中，供应商代表签字的一切文件和处理结果，联合体均予以认可并对此承担责任。</w:t>
      </w:r>
    </w:p>
    <w:p w14:paraId="0C319DC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2、联合体各方约定由</w:t>
      </w:r>
      <w:r>
        <w:rPr>
          <w:rFonts w:hint="eastAsia" w:ascii="宋体" w:hAnsi="宋体" w:eastAsia="宋体" w:cs="宋体"/>
          <w:u w:val="single"/>
        </w:rPr>
        <w:t>（填写“牵头方的全称”）代表联合体办理磋商保证金事宜。</w:t>
      </w:r>
    </w:p>
    <w:p w14:paraId="7284516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3EB7667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四、若中标，牵头方将代表联合体与采购人就合同签订事宜进行协商；若协商一致，则联合体各方将共同与采购人签订政府采购合同，并就政府采购合同约定的事项对采购人承担连带责任。</w:t>
      </w:r>
    </w:p>
    <w:p w14:paraId="2742702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五、本协议自签署之日起生效，政府采购合同履行完毕后自动失效。</w:t>
      </w:r>
    </w:p>
    <w:p w14:paraId="1462D2D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六、本协议一式</w:t>
      </w:r>
      <w:r>
        <w:rPr>
          <w:rFonts w:hint="eastAsia" w:ascii="宋体" w:hAnsi="宋体" w:eastAsia="宋体" w:cs="宋体"/>
          <w:u w:val="single"/>
        </w:rPr>
        <w:t>（填写具体份数）</w:t>
      </w:r>
      <w:r>
        <w:rPr>
          <w:rFonts w:hint="eastAsia" w:ascii="宋体" w:hAnsi="宋体" w:eastAsia="宋体" w:cs="宋体"/>
        </w:rPr>
        <w:t>份，联合体各方各执一份，电子响应文件中提交一份。</w:t>
      </w:r>
    </w:p>
    <w:p w14:paraId="232691E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（以下无正文）</w:t>
      </w:r>
    </w:p>
    <w:p w14:paraId="41C1EA3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牵头方：</w:t>
      </w:r>
      <w:r>
        <w:rPr>
          <w:rFonts w:hint="eastAsia" w:ascii="宋体" w:hAnsi="宋体" w:eastAsia="宋体" w:cs="宋体"/>
          <w:u w:val="single"/>
        </w:rPr>
        <w:t>（全称并加盖单位公章）</w:t>
      </w:r>
    </w:p>
    <w:p w14:paraId="45DAC1E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法定代表人或其委托代理人：</w:t>
      </w:r>
      <w:r>
        <w:rPr>
          <w:rFonts w:hint="eastAsia" w:ascii="宋体" w:hAnsi="宋体" w:eastAsia="宋体" w:cs="宋体"/>
          <w:u w:val="single"/>
        </w:rPr>
        <w:t> （签字或盖章）</w:t>
      </w:r>
    </w:p>
    <w:p w14:paraId="2DEBB1C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成员一：</w:t>
      </w:r>
      <w:r>
        <w:rPr>
          <w:rFonts w:hint="eastAsia" w:ascii="宋体" w:hAnsi="宋体" w:eastAsia="宋体" w:cs="宋体"/>
          <w:u w:val="single"/>
        </w:rPr>
        <w:t>（全称并加盖成员一的单位公章）</w:t>
      </w:r>
    </w:p>
    <w:p w14:paraId="2A2B1CB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法定代表人或其委托代理人：</w:t>
      </w:r>
      <w:r>
        <w:rPr>
          <w:rFonts w:hint="eastAsia" w:ascii="宋体" w:hAnsi="宋体" w:eastAsia="宋体" w:cs="宋体"/>
          <w:u w:val="single"/>
        </w:rPr>
        <w:t> （签字或盖章）</w:t>
      </w:r>
    </w:p>
    <w:p w14:paraId="67B35CD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w:t>
      </w:r>
    </w:p>
    <w:p w14:paraId="3E418F1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成员**：</w:t>
      </w:r>
      <w:r>
        <w:rPr>
          <w:rFonts w:hint="eastAsia" w:ascii="宋体" w:hAnsi="宋体" w:eastAsia="宋体" w:cs="宋体"/>
          <w:u w:val="single"/>
        </w:rPr>
        <w:t>（全称并加盖成员**的单位公章）</w:t>
      </w:r>
    </w:p>
    <w:p w14:paraId="4AD9A5E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法定代表人或其委托代理人：</w:t>
      </w:r>
      <w:r>
        <w:rPr>
          <w:rFonts w:hint="eastAsia" w:ascii="宋体" w:hAnsi="宋体" w:eastAsia="宋体" w:cs="宋体"/>
          <w:u w:val="single"/>
        </w:rPr>
        <w:t> （签字或盖章）</w:t>
      </w:r>
    </w:p>
    <w:p w14:paraId="295700FB">
      <w:pPr>
        <w:pStyle w:val="15"/>
        <w:keepNext w:val="0"/>
        <w:keepLines w:val="0"/>
        <w:pageBreakBefore w:val="0"/>
        <w:widowControl/>
        <w:kinsoku/>
        <w:overflowPunct/>
        <w:topLinePunct w:val="0"/>
        <w:bidi w:val="0"/>
        <w:snapToGrid/>
        <w:spacing w:beforeAutospacing="0" w:afterAutospacing="0" w:line="240" w:lineRule="auto"/>
        <w:ind w:firstLine="420"/>
        <w:jc w:val="right"/>
        <w:textAlignment w:val="auto"/>
        <w:rPr>
          <w:rFonts w:hint="eastAsia" w:ascii="宋体" w:hAnsi="宋体" w:eastAsia="宋体" w:cs="宋体"/>
        </w:rPr>
      </w:pPr>
      <w:r>
        <w:rPr>
          <w:rFonts w:hint="eastAsia" w:ascii="宋体" w:hAnsi="宋体" w:eastAsia="宋体" w:cs="宋体"/>
        </w:rPr>
        <w:t>签署日期：</w:t>
      </w:r>
      <w:r>
        <w:rPr>
          <w:rFonts w:hint="eastAsia" w:ascii="宋体" w:hAnsi="宋体" w:eastAsia="宋体" w:cs="宋体"/>
          <w:u w:val="single"/>
        </w:rPr>
        <w:t>　　年　　月　　日</w:t>
      </w:r>
    </w:p>
    <w:p w14:paraId="1296508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403486D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1、磋商文件接受联合体报价且供应商为联合体的，供应商应提供本协议；否则无须提供。</w:t>
      </w:r>
    </w:p>
    <w:p w14:paraId="351AB77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2、本协议由委托代理人签字或盖章的，应按照本章载明的格式提供“单位授权书”。</w:t>
      </w:r>
    </w:p>
    <w:p w14:paraId="62BED79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3、在以联合体形式落实中小企业预留份额项目中，供应商除了要提供《中小企业声明函》，还需提供本协议。</w:t>
      </w:r>
    </w:p>
    <w:p w14:paraId="33BA309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4、在以联合体形式落实中小企业预留份额项目中，供应商除了要提供《中小企业声明函》，还需提供本协议。</w:t>
      </w:r>
    </w:p>
    <w:p w14:paraId="7F4AD27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1074BF88">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附件3-7分包意向协议（若有）</w:t>
      </w:r>
    </w:p>
    <w:p w14:paraId="6AE2E0A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甲方（总包方）：</w:t>
      </w:r>
      <w:r>
        <w:rPr>
          <w:rFonts w:hint="eastAsia" w:ascii="宋体" w:hAnsi="宋体" w:eastAsia="宋体" w:cs="宋体"/>
          <w:u w:val="single"/>
        </w:rPr>
        <w:t>　　　　　　　</w:t>
      </w:r>
      <w:r>
        <w:rPr>
          <w:rFonts w:hint="eastAsia" w:ascii="宋体" w:hAnsi="宋体" w:eastAsia="宋体" w:cs="宋体"/>
        </w:rPr>
        <w:t>（即本项目的供应商）</w:t>
      </w:r>
    </w:p>
    <w:p w14:paraId="5D2DE2F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乙方（分包方）：</w:t>
      </w:r>
      <w:r>
        <w:rPr>
          <w:rFonts w:hint="eastAsia" w:ascii="宋体" w:hAnsi="宋体" w:eastAsia="宋体" w:cs="宋体"/>
          <w:u w:val="single"/>
        </w:rPr>
        <w:t>　　　　　　　</w:t>
      </w:r>
    </w:p>
    <w:p w14:paraId="572BC9B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兹有甲方参加</w:t>
      </w:r>
      <w:r>
        <w:rPr>
          <w:rFonts w:hint="eastAsia" w:ascii="宋体" w:hAnsi="宋体" w:eastAsia="宋体" w:cs="宋体"/>
          <w:u w:val="single"/>
        </w:rPr>
        <w:t>（填写“项目名称”）</w:t>
      </w:r>
      <w:r>
        <w:rPr>
          <w:rFonts w:hint="eastAsia" w:ascii="宋体" w:hAnsi="宋体" w:eastAsia="宋体" w:cs="宋体"/>
        </w:rPr>
        <w:t> 项目（项目编号：</w:t>
      </w:r>
      <w:r>
        <w:rPr>
          <w:rFonts w:hint="eastAsia" w:ascii="宋体" w:hAnsi="宋体" w:eastAsia="宋体" w:cs="宋体"/>
          <w:u w:val="single"/>
        </w:rPr>
        <w:t>　　　　　　　</w:t>
      </w:r>
      <w:r>
        <w:rPr>
          <w:rFonts w:hint="eastAsia" w:ascii="宋体" w:hAnsi="宋体" w:eastAsia="宋体" w:cs="宋体"/>
        </w:rPr>
        <w:t>）的政府采购活动。甲方期望将采购项目的部分采购标的分包给乙方完成，而乙方保证能够向甲方提供本协议项下的采购标的，甲、乙双方就合同分包的有关事宜达成下列协议：</w:t>
      </w:r>
    </w:p>
    <w:p w14:paraId="435E7AA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一、分包标的</w:t>
      </w:r>
    </w:p>
    <w:p w14:paraId="48CF64F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u w:val="single"/>
        </w:rPr>
        <w:t>（根据双方的意向填写，可以是表格或文字描述）。</w:t>
      </w:r>
    </w:p>
    <w:p w14:paraId="027D1B7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二、分包合同金额占比</w:t>
      </w:r>
    </w:p>
    <w:p w14:paraId="2AF273B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分包合同价占报价总价的比例：</w:t>
      </w:r>
      <w:r>
        <w:rPr>
          <w:rFonts w:hint="eastAsia" w:ascii="宋体" w:hAnsi="宋体" w:eastAsia="宋体" w:cs="宋体"/>
          <w:u w:val="single"/>
        </w:rPr>
        <w:t>　　　　　</w:t>
      </w:r>
      <w:r>
        <w:rPr>
          <w:rFonts w:hint="eastAsia" w:ascii="宋体" w:hAnsi="宋体" w:eastAsia="宋体" w:cs="宋体"/>
        </w:rPr>
        <w:t>%</w:t>
      </w:r>
    </w:p>
    <w:p w14:paraId="512D736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三、其他条款</w:t>
      </w:r>
    </w:p>
    <w:p w14:paraId="250E62E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19"/>
        <w:tblW w:w="4999" w:type="pct"/>
        <w:tblInd w:w="0" w:type="dxa"/>
        <w:tblLayout w:type="autofit"/>
        <w:tblCellMar>
          <w:top w:w="0" w:type="dxa"/>
          <w:left w:w="0" w:type="dxa"/>
          <w:bottom w:w="0" w:type="dxa"/>
          <w:right w:w="0" w:type="dxa"/>
        </w:tblCellMar>
      </w:tblPr>
      <w:tblGrid>
        <w:gridCol w:w="4936"/>
        <w:gridCol w:w="4940"/>
      </w:tblGrid>
      <w:tr w14:paraId="66BB4DDD">
        <w:tc>
          <w:tcPr>
            <w:tcW w:w="249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006EAB5">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甲方：</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4D1FE5C">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乙方：</w:t>
            </w:r>
          </w:p>
        </w:tc>
      </w:tr>
      <w:tr w14:paraId="73DF3C91">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21279FF">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住所：</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44A4DD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住所：</w:t>
            </w:r>
          </w:p>
        </w:tc>
      </w:tr>
      <w:tr w14:paraId="1622EE05">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9984D6F">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单位负责人或委托代理人：</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5CE34A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单位负责人或委托代理人：</w:t>
            </w:r>
          </w:p>
        </w:tc>
      </w:tr>
      <w:tr w14:paraId="750FEC28">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877480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联系方法：</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B63D0D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联系方法：</w:t>
            </w:r>
          </w:p>
        </w:tc>
      </w:tr>
      <w:tr w14:paraId="19DB0C0B">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6B51DC5">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开户银行：</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38BB542">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开户银行：</w:t>
            </w:r>
          </w:p>
        </w:tc>
      </w:tr>
      <w:tr w14:paraId="00A33333">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F6D73A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账号：</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CBF171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账号：</w:t>
            </w:r>
          </w:p>
        </w:tc>
      </w:tr>
      <w:tr w14:paraId="474BD997">
        <w:tblPrEx>
          <w:tblCellMar>
            <w:top w:w="0" w:type="dxa"/>
            <w:left w:w="0" w:type="dxa"/>
            <w:bottom w:w="0" w:type="dxa"/>
            <w:right w:w="0" w:type="dxa"/>
          </w:tblCellMar>
        </w:tblPrEx>
        <w:tc>
          <w:tcPr>
            <w:tcW w:w="5000" w:type="pct"/>
            <w:gridSpan w:val="2"/>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179936D">
            <w:pPr>
              <w:pStyle w:val="15"/>
              <w:keepNext w:val="0"/>
              <w:keepLines w:val="0"/>
              <w:pageBreakBefore w:val="0"/>
              <w:widowControl/>
              <w:kinsoku/>
              <w:wordWrap w:val="0"/>
              <w:overflowPunct/>
              <w:topLinePunct w:val="0"/>
              <w:bidi w:val="0"/>
              <w:snapToGrid/>
              <w:spacing w:beforeAutospacing="0" w:afterAutospacing="0" w:line="240" w:lineRule="auto"/>
              <w:jc w:val="right"/>
              <w:textAlignment w:val="auto"/>
              <w:rPr>
                <w:rFonts w:hint="eastAsia" w:ascii="宋体" w:hAnsi="宋体" w:eastAsia="宋体" w:cs="宋体"/>
              </w:rPr>
            </w:pPr>
            <w:r>
              <w:rPr>
                <w:rFonts w:hint="eastAsia" w:ascii="宋体" w:hAnsi="宋体" w:eastAsia="宋体" w:cs="宋体"/>
              </w:rPr>
              <w:t>签订地点：</w:t>
            </w:r>
            <w:r>
              <w:rPr>
                <w:rFonts w:hint="eastAsia" w:ascii="宋体" w:hAnsi="宋体" w:eastAsia="宋体" w:cs="宋体"/>
                <w:u w:val="single"/>
              </w:rPr>
              <w:t>　　　　　　　　　　</w:t>
            </w:r>
          </w:p>
          <w:p w14:paraId="3BF948C2">
            <w:pPr>
              <w:pStyle w:val="15"/>
              <w:keepNext w:val="0"/>
              <w:keepLines w:val="0"/>
              <w:pageBreakBefore w:val="0"/>
              <w:widowControl/>
              <w:kinsoku/>
              <w:wordWrap w:val="0"/>
              <w:overflowPunct/>
              <w:topLinePunct w:val="0"/>
              <w:bidi w:val="0"/>
              <w:snapToGrid/>
              <w:spacing w:beforeAutospacing="0" w:afterAutospacing="0" w:line="240" w:lineRule="auto"/>
              <w:jc w:val="right"/>
              <w:textAlignment w:val="auto"/>
              <w:rPr>
                <w:rFonts w:hint="eastAsia" w:ascii="宋体" w:hAnsi="宋体" w:eastAsia="宋体" w:cs="宋体"/>
              </w:rPr>
            </w:pPr>
            <w:r>
              <w:rPr>
                <w:rFonts w:hint="eastAsia" w:ascii="宋体" w:hAnsi="宋体" w:eastAsia="宋体" w:cs="宋体"/>
              </w:rPr>
              <w:t>签约日期：</w:t>
            </w:r>
            <w:r>
              <w:rPr>
                <w:rFonts w:hint="eastAsia" w:ascii="宋体" w:hAnsi="宋体" w:eastAsia="宋体" w:cs="宋体"/>
                <w:u w:val="single"/>
              </w:rPr>
              <w:t>　　年　　月　　日</w:t>
            </w:r>
          </w:p>
        </w:tc>
      </w:tr>
    </w:tbl>
    <w:p w14:paraId="11551E2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59126DA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1.磋商文件接受合同分包且供应商拟将合同分包的，应提供本协议；否则无须提供。</w:t>
      </w:r>
    </w:p>
    <w:p w14:paraId="25BEF9C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2.本协议由委托代理人签字或盖章的，应按照本章载明的格式提供“单位授权书”。</w:t>
      </w:r>
    </w:p>
    <w:p w14:paraId="58C524E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3.在以合同分包形式落实中小企业预留份额项目中，供应商除了要提供《中小企业声明函》，还需提供本协议。</w:t>
      </w:r>
    </w:p>
    <w:p w14:paraId="4D986A3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0125452F">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附件3-8其它资格证明文件</w:t>
      </w:r>
    </w:p>
    <w:p w14:paraId="684288A2">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（若有）</w:t>
      </w:r>
    </w:p>
    <w:p w14:paraId="50E1D52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说明：1、采购人或采购代理机构可以根据项目的特点和需要，在磋商文件“供应商的资格”中特定资格条件，对其它资格证明文件进行具体规定，供应商应按照磋商文件要求，在此项下提供相关证明材料，并加盖供应商单位公章。</w:t>
      </w:r>
    </w:p>
    <w:p w14:paraId="29FF81B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2、若磋商文件规定接受联合体形式且供应商为联合体的，涉及联合体成员的其它资格证明文件在此处提供相关证明材料，并加盖供应商单位公章。</w:t>
      </w:r>
    </w:p>
    <w:p w14:paraId="13A8AE47">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2ED4914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6801A2A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458228D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14CDA63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B0D0412">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附件4磋商保证金凭证</w:t>
      </w:r>
    </w:p>
    <w:p w14:paraId="3674DEFE">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编制说明</w:t>
      </w:r>
    </w:p>
    <w:p w14:paraId="7812297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在此项下提交的“磋商保证金”材料可使用转账凭证复印件或从福建省政府采购网上公开信息系统中下载的有关原始页面的打印件。通过福建省政府采购网政府采购平台“保函服务”栏目办理电子保函的，提供电子保函电子格式。</w:t>
      </w:r>
    </w:p>
    <w:p w14:paraId="4259181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2、磋商保证金是否已提交按照磋商文件规定执行。</w:t>
      </w:r>
    </w:p>
    <w:p w14:paraId="515AA4F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671D1610">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附件5-1技术和服务要求响应表</w:t>
      </w:r>
    </w:p>
    <w:p w14:paraId="11ED7E5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（全称加盖单位公章）</w:t>
      </w:r>
      <w:r>
        <w:rPr>
          <w:rFonts w:hint="eastAsia" w:ascii="宋体" w:hAnsi="宋体" w:eastAsia="宋体" w:cs="宋体"/>
        </w:rPr>
        <w:t>项目编号∶</w:t>
      </w:r>
      <w:r>
        <w:rPr>
          <w:rFonts w:hint="eastAsia" w:ascii="宋体" w:hAnsi="宋体" w:eastAsia="宋体" w:cs="宋体"/>
          <w:u w:val="single"/>
        </w:rPr>
        <w:t>　　　　　　　　　　</w:t>
      </w:r>
    </w:p>
    <w:tbl>
      <w:tblPr>
        <w:tblStyle w:val="19"/>
        <w:tblW w:w="9839" w:type="dxa"/>
        <w:tblInd w:w="0" w:type="dxa"/>
        <w:tblLayout w:type="autofit"/>
        <w:tblCellMar>
          <w:top w:w="0" w:type="dxa"/>
          <w:left w:w="0" w:type="dxa"/>
          <w:bottom w:w="0" w:type="dxa"/>
          <w:right w:w="0" w:type="dxa"/>
        </w:tblCellMar>
      </w:tblPr>
      <w:tblGrid>
        <w:gridCol w:w="1071"/>
        <w:gridCol w:w="2296"/>
        <w:gridCol w:w="3052"/>
        <w:gridCol w:w="1550"/>
        <w:gridCol w:w="1870"/>
      </w:tblGrid>
      <w:tr w14:paraId="73DEA983">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8DFD49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采购包</w:t>
            </w: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B05A58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章节条目号</w:t>
            </w:r>
          </w:p>
        </w:tc>
        <w:tc>
          <w:tcPr>
            <w:tcW w:w="305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C615C6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竞争性磋商文件规定的技术和服务要求</w:t>
            </w:r>
          </w:p>
        </w:tc>
        <w:tc>
          <w:tcPr>
            <w:tcW w:w="15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1E68B76">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响应文件响应承诺</w:t>
            </w:r>
          </w:p>
        </w:tc>
        <w:tc>
          <w:tcPr>
            <w:tcW w:w="187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4D00AB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是否偏离及说明</w:t>
            </w:r>
          </w:p>
        </w:tc>
      </w:tr>
      <w:tr w14:paraId="6F7C17DE">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64BC363">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141F5B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305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D033EC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5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4B5828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87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C70130F">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0D54E1C4">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389844F">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EE79C8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305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653B83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5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7AAA8C2">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87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1546D3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6BC63CD1">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CFC982E">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3B46B6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305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EA0BDA5">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5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A62E4C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87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15A605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bl>
    <w:p w14:paraId="751C41D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b/>
          <w:bCs/>
        </w:rPr>
      </w:pPr>
      <w:r>
        <w:rPr>
          <w:rFonts w:hint="eastAsia" w:ascii="宋体" w:hAnsi="宋体" w:eastAsia="宋体" w:cs="宋体"/>
          <w:b/>
          <w:bCs/>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14:paraId="7E51B2B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b/>
          <w:bCs/>
        </w:rPr>
      </w:pPr>
      <w:r>
        <w:rPr>
          <w:rFonts w:hint="eastAsia" w:ascii="宋体" w:hAnsi="宋体" w:eastAsia="宋体" w:cs="宋体"/>
          <w:b/>
          <w:bCs/>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14:paraId="405BA255">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0745E74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14:paraId="1327F10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6DAE546E">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附件5-2        商务条件和其它事项响应表</w:t>
      </w:r>
    </w:p>
    <w:p w14:paraId="7E639A4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（全称加盖单位公章）</w:t>
      </w:r>
      <w:r>
        <w:rPr>
          <w:rFonts w:hint="eastAsia" w:ascii="宋体" w:hAnsi="宋体" w:eastAsia="宋体" w:cs="宋体"/>
        </w:rPr>
        <w:t>项目编号∶</w:t>
      </w:r>
      <w:r>
        <w:rPr>
          <w:rFonts w:hint="eastAsia" w:ascii="宋体" w:hAnsi="宋体" w:eastAsia="宋体" w:cs="宋体"/>
          <w:u w:val="single"/>
        </w:rPr>
        <w:t>　　　　　　　　　　</w:t>
      </w:r>
    </w:p>
    <w:tbl>
      <w:tblPr>
        <w:tblStyle w:val="19"/>
        <w:tblW w:w="9809" w:type="dxa"/>
        <w:tblInd w:w="0" w:type="dxa"/>
        <w:tblLayout w:type="autofit"/>
        <w:tblCellMar>
          <w:top w:w="0" w:type="dxa"/>
          <w:left w:w="0" w:type="dxa"/>
          <w:bottom w:w="0" w:type="dxa"/>
          <w:right w:w="0" w:type="dxa"/>
        </w:tblCellMar>
      </w:tblPr>
      <w:tblGrid>
        <w:gridCol w:w="1071"/>
        <w:gridCol w:w="2296"/>
        <w:gridCol w:w="2302"/>
        <w:gridCol w:w="2160"/>
        <w:gridCol w:w="1980"/>
      </w:tblGrid>
      <w:tr w14:paraId="399579AF">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AD2E855">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采购包</w:t>
            </w: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144BBB0">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章节条目号</w:t>
            </w:r>
          </w:p>
        </w:tc>
        <w:tc>
          <w:tcPr>
            <w:tcW w:w="230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D31847A">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竞争性磋商文件规定的商务条件要求</w:t>
            </w:r>
          </w:p>
        </w:tc>
        <w:tc>
          <w:tcPr>
            <w:tcW w:w="216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7F2EB7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响应文件响应承诺</w:t>
            </w:r>
          </w:p>
        </w:tc>
        <w:tc>
          <w:tcPr>
            <w:tcW w:w="198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DBB9B3F">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是否偏离及说明</w:t>
            </w:r>
          </w:p>
        </w:tc>
      </w:tr>
      <w:tr w14:paraId="3435D47C">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CD0B49C">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83507D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230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1BB5E3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216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8E4A583">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98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471562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6ACE8974">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A14B7D3">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D2A003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230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94A17E3">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216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879D69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98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8A5051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22ADBDF3">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727F7CA">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BB72B9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230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1E2B18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216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9F4BDC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98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CEB9A4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bl>
    <w:p w14:paraId="5319539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b/>
          <w:bCs/>
        </w:rPr>
      </w:pPr>
      <w:r>
        <w:rPr>
          <w:rFonts w:hint="eastAsia" w:ascii="宋体" w:hAnsi="宋体" w:eastAsia="宋体" w:cs="宋体"/>
          <w:b/>
          <w:bCs/>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14:paraId="3BE42FD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b/>
          <w:bCs/>
        </w:rPr>
      </w:pPr>
      <w:r>
        <w:rPr>
          <w:rFonts w:hint="eastAsia" w:ascii="宋体" w:hAnsi="宋体" w:eastAsia="宋体" w:cs="宋体"/>
          <w:b/>
          <w:bCs/>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14:paraId="36271CEE">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7F99F3B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14:paraId="0E9ACE1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ED87748">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附件6相关技术、商务、服务响应承诺及资料</w:t>
      </w:r>
    </w:p>
    <w:p w14:paraId="1221A6F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说明：</w:t>
      </w:r>
    </w:p>
    <w:p w14:paraId="1087409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采购人或采购代理机构可以根据项目的特点和需要，在磋商文件中对供应商需要提供的相关技术、商务、服务响应承诺及资料进行具体规定或附表格式，供应商应按照磋商文件要求提供相关承诺及材料，并加盖供应商单位公章。</w:t>
      </w:r>
    </w:p>
    <w:p w14:paraId="5294EAA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2.如果没有特别要求的，供应商根据磋商文件的要求以及特点，提供相关技术、商务、服务响应承诺及资料，格式自拟。</w:t>
      </w:r>
    </w:p>
    <w:p w14:paraId="487E308F">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kern w:val="0"/>
          <w:sz w:val="24"/>
          <w:lang w:bidi="ar"/>
        </w:rPr>
        <w:br w:type="textWrapping"/>
      </w:r>
      <w:r>
        <w:rPr>
          <w:rFonts w:hint="eastAsia" w:ascii="宋体" w:hAnsi="宋体" w:eastAsia="宋体" w:cs="宋体"/>
          <w:kern w:val="0"/>
          <w:sz w:val="24"/>
          <w:lang w:bidi="ar"/>
        </w:rPr>
        <w:br w:type="textWrapping"/>
      </w:r>
    </w:p>
    <w:p w14:paraId="6588582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366FE1F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　　　　　</w:t>
      </w:r>
    </w:p>
    <w:p w14:paraId="0929215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3239391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02433883">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附件7供应商提交符合政府采购政策的证明材料</w:t>
      </w:r>
    </w:p>
    <w:p w14:paraId="6CF50BA5">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附件7-1-1中小企业声明函（若有）</w:t>
      </w:r>
    </w:p>
    <w:p w14:paraId="53150D5C">
      <w:pPr>
        <w:pStyle w:val="15"/>
        <w:keepNext w:val="0"/>
        <w:keepLines w:val="0"/>
        <w:pageBreakBefore w:val="0"/>
        <w:widowControl/>
        <w:kinsoku/>
        <w:overflowPunct/>
        <w:topLinePunct w:val="0"/>
        <w:bidi w:val="0"/>
        <w:snapToGrid/>
        <w:spacing w:beforeAutospacing="0" w:afterAutospacing="0" w:line="240" w:lineRule="auto"/>
        <w:ind w:firstLine="420"/>
        <w:jc w:val="center"/>
        <w:textAlignment w:val="auto"/>
        <w:rPr>
          <w:rFonts w:hint="eastAsia" w:ascii="宋体" w:hAnsi="宋体" w:eastAsia="宋体" w:cs="宋体"/>
        </w:rPr>
      </w:pPr>
      <w:r>
        <w:rPr>
          <w:rFonts w:hint="eastAsia" w:ascii="宋体" w:hAnsi="宋体" w:eastAsia="宋体" w:cs="宋体"/>
        </w:rPr>
        <w:t>中小企业声明函（货物）</w:t>
      </w:r>
    </w:p>
    <w:p w14:paraId="1587373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本公司</w:t>
      </w:r>
      <w:r>
        <w:rPr>
          <w:rFonts w:hint="eastAsia" w:ascii="宋体" w:hAnsi="宋体" w:eastAsia="宋体" w:cs="宋体"/>
          <w:u w:val="single"/>
        </w:rPr>
        <w:t>（联合体）</w:t>
      </w:r>
      <w:r>
        <w:rPr>
          <w:rFonts w:hint="eastAsia" w:ascii="宋体" w:hAnsi="宋体" w:eastAsia="宋体" w:cs="宋体"/>
        </w:rPr>
        <w:t>郑重声明，根据《政府采购促进中小企业发展管理办法》（财库﹝2020﹞46号）的规定，本公司</w:t>
      </w:r>
      <w:r>
        <w:rPr>
          <w:rFonts w:hint="eastAsia" w:ascii="宋体" w:hAnsi="宋体" w:eastAsia="宋体" w:cs="宋体"/>
          <w:u w:val="single"/>
        </w:rPr>
        <w:t>（联合体）</w:t>
      </w:r>
      <w:r>
        <w:rPr>
          <w:rFonts w:hint="eastAsia" w:ascii="宋体" w:hAnsi="宋体" w:eastAsia="宋体" w:cs="宋体"/>
        </w:rPr>
        <w:t>参加</w:t>
      </w:r>
      <w:r>
        <w:rPr>
          <w:rFonts w:hint="eastAsia" w:ascii="宋体" w:hAnsi="宋体" w:eastAsia="宋体" w:cs="宋体"/>
          <w:u w:val="single"/>
        </w:rPr>
        <w:t>（单位名称）</w:t>
      </w:r>
      <w:r>
        <w:rPr>
          <w:rFonts w:hint="eastAsia" w:ascii="宋体" w:hAnsi="宋体" w:eastAsia="宋体" w:cs="宋体"/>
        </w:rPr>
        <w:t>的</w:t>
      </w:r>
      <w:r>
        <w:rPr>
          <w:rFonts w:hint="eastAsia" w:ascii="宋体" w:hAnsi="宋体" w:eastAsia="宋体" w:cs="宋体"/>
          <w:u w:val="single"/>
        </w:rPr>
        <w:t>（项目名称）</w:t>
      </w:r>
      <w:r>
        <w:rPr>
          <w:rFonts w:hint="eastAsia" w:ascii="宋体" w:hAnsi="宋体" w:eastAsia="宋体" w:cs="宋体"/>
        </w:rPr>
        <w:t>采购活动，提供的货物全部由符合政策要求的中小企业制造。相关企业（含联合体中的中小企业、签订分包意向协议的中小企业）的具体情况如下：</w:t>
      </w:r>
    </w:p>
    <w:p w14:paraId="4C18079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行业；制造商为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万元¹，属于</w:t>
      </w:r>
      <w:r>
        <w:rPr>
          <w:rFonts w:hint="eastAsia" w:ascii="宋体" w:hAnsi="宋体" w:eastAsia="宋体" w:cs="宋体"/>
          <w:u w:val="single"/>
        </w:rPr>
        <w:t>（中型企业、小型企业、微型企业）</w:t>
      </w:r>
      <w:r>
        <w:rPr>
          <w:rFonts w:hint="eastAsia" w:ascii="宋体" w:hAnsi="宋体" w:eastAsia="宋体" w:cs="宋体"/>
        </w:rPr>
        <w:t>；</w:t>
      </w:r>
    </w:p>
    <w:p w14:paraId="5E09677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行业；制造商为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万元，属于</w:t>
      </w:r>
      <w:r>
        <w:rPr>
          <w:rFonts w:hint="eastAsia" w:ascii="宋体" w:hAnsi="宋体" w:eastAsia="宋体" w:cs="宋体"/>
          <w:u w:val="single"/>
        </w:rPr>
        <w:t>（中型企业、小型企业、微型企业）</w:t>
      </w:r>
      <w:r>
        <w:rPr>
          <w:rFonts w:hint="eastAsia" w:ascii="宋体" w:hAnsi="宋体" w:eastAsia="宋体" w:cs="宋体"/>
        </w:rPr>
        <w:t>；</w:t>
      </w:r>
    </w:p>
    <w:p w14:paraId="339EA27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w:t>
      </w:r>
    </w:p>
    <w:p w14:paraId="22ACF2D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以上企业，不属于大企业的分支机构，不存在控股股东为大企业的情形，也不存在与大企业的负责人为同一人的情形。</w:t>
      </w:r>
    </w:p>
    <w:p w14:paraId="1447AF0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本企业对上述声明内容的真实性负责。如有虚假，将依法承担相应责任。</w:t>
      </w:r>
    </w:p>
    <w:p w14:paraId="041B6B1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企业名称（盖章）：</w:t>
      </w:r>
    </w:p>
    <w:p w14:paraId="2B09692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75A9AFC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24686E7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1、从业人员、营业收入、资产总额填报上一年度数据，无上一年度数据的新成立企业可不填报。</w:t>
      </w:r>
    </w:p>
    <w:p w14:paraId="32D4424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39CDEA8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14:paraId="6D2720F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B47F575">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中小企业声明函（工程、服务）</w:t>
      </w:r>
    </w:p>
    <w:p w14:paraId="4692130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本公司</w:t>
      </w:r>
      <w:r>
        <w:rPr>
          <w:rFonts w:hint="eastAsia" w:ascii="宋体" w:hAnsi="宋体" w:eastAsia="宋体" w:cs="宋体"/>
          <w:u w:val="single"/>
        </w:rPr>
        <w:t>（联合体）</w:t>
      </w:r>
      <w:r>
        <w:rPr>
          <w:rFonts w:hint="eastAsia" w:ascii="宋体" w:hAnsi="宋体" w:eastAsia="宋体" w:cs="宋体"/>
        </w:rPr>
        <w:t>郑重声明，根据《政府采购促进中小企业发展管理办法》（财库﹝2020﹞46号）的规定，本公司</w:t>
      </w:r>
      <w:r>
        <w:rPr>
          <w:rFonts w:hint="eastAsia" w:ascii="宋体" w:hAnsi="宋体" w:eastAsia="宋体" w:cs="宋体"/>
          <w:u w:val="single"/>
        </w:rPr>
        <w:t>（联合体）</w:t>
      </w:r>
      <w:r>
        <w:rPr>
          <w:rFonts w:hint="eastAsia" w:ascii="宋体" w:hAnsi="宋体" w:eastAsia="宋体" w:cs="宋体"/>
        </w:rPr>
        <w:t>参加</w:t>
      </w:r>
      <w:r>
        <w:rPr>
          <w:rFonts w:hint="eastAsia" w:ascii="宋体" w:hAnsi="宋体" w:eastAsia="宋体" w:cs="宋体"/>
          <w:u w:val="single"/>
        </w:rPr>
        <w:t>（单位名称）</w:t>
      </w:r>
      <w:r>
        <w:rPr>
          <w:rFonts w:hint="eastAsia" w:ascii="宋体" w:hAnsi="宋体" w:eastAsia="宋体" w:cs="宋体"/>
        </w:rPr>
        <w:t>的</w:t>
      </w:r>
      <w:r>
        <w:rPr>
          <w:rFonts w:hint="eastAsia" w:ascii="宋体" w:hAnsi="宋体" w:eastAsia="宋体" w:cs="宋体"/>
          <w:u w:val="single"/>
        </w:rPr>
        <w:t>（项目名称）</w:t>
      </w:r>
      <w:r>
        <w:rPr>
          <w:rFonts w:hint="eastAsia" w:ascii="宋体" w:hAnsi="宋体" w:eastAsia="宋体" w:cs="宋体"/>
        </w:rPr>
        <w:t>采购活动，工程的施工单位全部为符合政策要求的中小企业（或者：服务全部由符合政策要求的中小企业承接）。相关企业（含联合体中的中小企业、签订分包意向协议的中小企业）的具体情况如下：</w:t>
      </w:r>
    </w:p>
    <w:p w14:paraId="460FBAB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行业；承建（承接）企业为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万元¹，属于</w:t>
      </w:r>
      <w:r>
        <w:rPr>
          <w:rFonts w:hint="eastAsia" w:ascii="宋体" w:hAnsi="宋体" w:eastAsia="宋体" w:cs="宋体"/>
          <w:u w:val="single"/>
        </w:rPr>
        <w:t>（中型企业、小型企业、微型企业）</w:t>
      </w:r>
      <w:r>
        <w:rPr>
          <w:rFonts w:hint="eastAsia" w:ascii="宋体" w:hAnsi="宋体" w:eastAsia="宋体" w:cs="宋体"/>
        </w:rPr>
        <w:t>；</w:t>
      </w:r>
    </w:p>
    <w:p w14:paraId="4A7306F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行业；承建（承接）企业为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万元，属于</w:t>
      </w:r>
      <w:r>
        <w:rPr>
          <w:rFonts w:hint="eastAsia" w:ascii="宋体" w:hAnsi="宋体" w:eastAsia="宋体" w:cs="宋体"/>
          <w:u w:val="single"/>
        </w:rPr>
        <w:t>（中型企业、小型企业、微型企业）</w:t>
      </w:r>
      <w:r>
        <w:rPr>
          <w:rFonts w:hint="eastAsia" w:ascii="宋体" w:hAnsi="宋体" w:eastAsia="宋体" w:cs="宋体"/>
        </w:rPr>
        <w:t>；</w:t>
      </w:r>
    </w:p>
    <w:p w14:paraId="705ED9B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w:t>
      </w:r>
    </w:p>
    <w:p w14:paraId="2DF5CEB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以上企业，不属于大企业的分支机构，不存在控股股东为大企业的情形，也不存在与大企业的负责人为同一人的情形。</w:t>
      </w:r>
    </w:p>
    <w:p w14:paraId="24E8792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本企业对上述声明内容的真实性负责。如有虚假，将依法承担相应责任。</w:t>
      </w:r>
    </w:p>
    <w:p w14:paraId="79DF008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企业名称（盖章）：</w:t>
      </w:r>
    </w:p>
    <w:p w14:paraId="246B8BE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51FF98FC">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4CAB188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46DB0B6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1、从业人员、营业收入、资产总额填报上一年度数据，无上一年度数据的新成立企业可不填报。</w:t>
      </w:r>
    </w:p>
    <w:p w14:paraId="265A857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6F5A576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14:paraId="0489EE61">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4AA0EAA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1B84DE43">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附件7-1-2残疾人福利性单位声明函（若有）</w:t>
      </w:r>
    </w:p>
    <w:p w14:paraId="105D645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本供应商郑重声明，根据《财政部、民政部、中国残疾人联合会关于促进残疾人就业政府采购政策的通知》（财库[2017]141号）、《政府采购促进中小企业发展管理办法》（财库〔2020〕46号）的规定，本供应商为符合条件的残疾人福利性单位，且本供应商参加贵单位的</w:t>
      </w:r>
      <w:r>
        <w:rPr>
          <w:rFonts w:hint="eastAsia" w:ascii="宋体" w:hAnsi="宋体" w:eastAsia="宋体" w:cs="宋体"/>
          <w:u w:val="single"/>
        </w:rPr>
        <w:t>（填写“项目名称”）</w:t>
      </w:r>
      <w:r>
        <w:rPr>
          <w:rFonts w:hint="eastAsia" w:ascii="宋体" w:hAnsi="宋体" w:eastAsia="宋体" w:cs="宋体"/>
        </w:rPr>
        <w:t>项目采购活动：</w:t>
      </w:r>
    </w:p>
    <w:p w14:paraId="07FDF15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（）提供本供应商制造的</w:t>
      </w:r>
      <w:r>
        <w:rPr>
          <w:rFonts w:hint="eastAsia" w:ascii="宋体" w:hAnsi="宋体" w:eastAsia="宋体" w:cs="宋体"/>
          <w:u w:val="single"/>
        </w:rPr>
        <w:t>（填写“所投采购包、品目号”）</w:t>
      </w:r>
      <w:r>
        <w:rPr>
          <w:rFonts w:hint="eastAsia" w:ascii="宋体" w:hAnsi="宋体" w:eastAsia="宋体" w:cs="宋体"/>
        </w:rPr>
        <w:t>货物，或提供其他残疾人福利性单位制造的</w:t>
      </w:r>
      <w:r>
        <w:rPr>
          <w:rFonts w:hint="eastAsia" w:ascii="宋体" w:hAnsi="宋体" w:eastAsia="宋体" w:cs="宋体"/>
          <w:u w:val="single"/>
        </w:rPr>
        <w:t>（填写“所投采购包、品目号”）</w:t>
      </w:r>
      <w:r>
        <w:rPr>
          <w:rFonts w:hint="eastAsia" w:ascii="宋体" w:hAnsi="宋体" w:eastAsia="宋体" w:cs="宋体"/>
        </w:rPr>
        <w:t>货物（不包括使用非残疾人福利性单位注册商标的货物）。（说明：只有部分货物由残疾人福利企业制造的，在该货物后标★）</w:t>
      </w:r>
    </w:p>
    <w:p w14:paraId="12507A1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（）由本供应商承建的</w:t>
      </w:r>
      <w:r>
        <w:rPr>
          <w:rFonts w:hint="eastAsia" w:ascii="宋体" w:hAnsi="宋体" w:eastAsia="宋体" w:cs="宋体"/>
          <w:u w:val="single"/>
        </w:rPr>
        <w:t>（填写“所投采购包、品目号”）</w:t>
      </w:r>
      <w:r>
        <w:rPr>
          <w:rFonts w:hint="eastAsia" w:ascii="宋体" w:hAnsi="宋体" w:eastAsia="宋体" w:cs="宋体"/>
        </w:rPr>
        <w:t>工程</w:t>
      </w:r>
    </w:p>
    <w:p w14:paraId="29FEA20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（）由本供应商承接的</w:t>
      </w:r>
      <w:r>
        <w:rPr>
          <w:rFonts w:hint="eastAsia" w:ascii="宋体" w:hAnsi="宋体" w:eastAsia="宋体" w:cs="宋体"/>
          <w:u w:val="single"/>
        </w:rPr>
        <w:t>（填写“所投采购包、品目号”）</w:t>
      </w:r>
      <w:r>
        <w:rPr>
          <w:rFonts w:hint="eastAsia" w:ascii="宋体" w:hAnsi="宋体" w:eastAsia="宋体" w:cs="宋体"/>
        </w:rPr>
        <w:t>服务；</w:t>
      </w:r>
    </w:p>
    <w:p w14:paraId="54827D6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本供应商对上述声明的真实性负责。如有虚假，将依法承担相应责任。</w:t>
      </w:r>
    </w:p>
    <w:p w14:paraId="5E1C63AE">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210D4A0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5DF87C8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　　　</w:t>
      </w:r>
    </w:p>
    <w:p w14:paraId="466CDFF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642D18B7">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55364B3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备注：（1）若供应商不符合残疾人福利性单位，不用提供本声明函，否则视为提供虚假材料。供应商在提交最后报价前，如果已向磋商小组提交上述声明函，视同为供应商符合残疾人福利性单位，享受价格扣除的优惠政策。</w:t>
      </w:r>
    </w:p>
    <w:p w14:paraId="56A3EEB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（2）请供应商按照实际情况编制填写本声明函，并在相应的（）中打“√”。</w:t>
      </w:r>
    </w:p>
    <w:p w14:paraId="17B013B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（3）纸质响应文件正本中的本声明函（若有）应为原件。</w:t>
      </w:r>
    </w:p>
    <w:p w14:paraId="47E732F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（4）若《残疾人福利性单位声明函》内容不真实，视为提供虚假材料。</w:t>
      </w:r>
    </w:p>
    <w:p w14:paraId="7FB77D5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50E39D3C">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附件7-1-3监狱企业证明材料</w:t>
      </w:r>
    </w:p>
    <w:p w14:paraId="3790F06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供应商为监狱企业，提供本单位制造的货物（承接的服务），并在电子响应文件中提供省级以上监狱管理局、戒毒管理局（含新疆生产建设兵团）出具的属于监狱企业的证明文件。</w:t>
      </w:r>
    </w:p>
    <w:p w14:paraId="17DF4E4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74533717">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附件7-2优先类节能产品、环境标志产品价格扣除证明材料（若有）</w:t>
      </w:r>
    </w:p>
    <w:p w14:paraId="42FB7DC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项目编号：</w:t>
      </w:r>
      <w:r>
        <w:rPr>
          <w:rFonts w:hint="eastAsia" w:ascii="宋体" w:hAnsi="宋体" w:eastAsia="宋体" w:cs="宋体"/>
          <w:u w:val="single"/>
        </w:rPr>
        <w:t>　　　　　　　　</w:t>
      </w:r>
    </w:p>
    <w:tbl>
      <w:tblPr>
        <w:tblStyle w:val="19"/>
        <w:tblW w:w="4999" w:type="pct"/>
        <w:tblInd w:w="0" w:type="dxa"/>
        <w:tblLayout w:type="autofit"/>
        <w:tblCellMar>
          <w:top w:w="0" w:type="dxa"/>
          <w:left w:w="0" w:type="dxa"/>
          <w:bottom w:w="0" w:type="dxa"/>
          <w:right w:w="0" w:type="dxa"/>
        </w:tblCellMar>
      </w:tblPr>
      <w:tblGrid>
        <w:gridCol w:w="1051"/>
        <w:gridCol w:w="1055"/>
        <w:gridCol w:w="1322"/>
        <w:gridCol w:w="6448"/>
      </w:tblGrid>
      <w:tr w14:paraId="495111E8">
        <w:tblPrEx>
          <w:tblCellMar>
            <w:top w:w="0" w:type="dxa"/>
            <w:left w:w="0" w:type="dxa"/>
            <w:bottom w:w="0" w:type="dxa"/>
            <w:right w:w="0" w:type="dxa"/>
          </w:tblCellMar>
        </w:tblPrEx>
        <w:tc>
          <w:tcPr>
            <w:tcW w:w="532"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30F7936">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4467" w:type="pct"/>
            <w:gridSpan w:val="3"/>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9691000">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本采购包内属于节能、环境标志产品情况</w:t>
            </w:r>
          </w:p>
        </w:tc>
      </w:tr>
      <w:tr w14:paraId="3AA5C9B5">
        <w:tblPrEx>
          <w:tblCellMar>
            <w:top w:w="0" w:type="dxa"/>
            <w:left w:w="0" w:type="dxa"/>
            <w:bottom w:w="0" w:type="dxa"/>
            <w:right w:w="0" w:type="dxa"/>
          </w:tblCellMar>
        </w:tblPrEx>
        <w:tc>
          <w:tcPr>
            <w:tcW w:w="532"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A241070">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采购包</w:t>
            </w:r>
          </w:p>
        </w:tc>
        <w:tc>
          <w:tcPr>
            <w:tcW w:w="53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C4D24C0">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品目号</w:t>
            </w:r>
          </w:p>
        </w:tc>
        <w:tc>
          <w:tcPr>
            <w:tcW w:w="66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D09D5BA">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产品名称</w:t>
            </w:r>
          </w:p>
        </w:tc>
        <w:tc>
          <w:tcPr>
            <w:tcW w:w="326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4B2F64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认证种类</w:t>
            </w:r>
          </w:p>
        </w:tc>
      </w:tr>
      <w:tr w14:paraId="7A623F1D">
        <w:tblPrEx>
          <w:tblCellMar>
            <w:top w:w="0" w:type="dxa"/>
            <w:left w:w="0" w:type="dxa"/>
            <w:bottom w:w="0" w:type="dxa"/>
            <w:right w:w="0" w:type="dxa"/>
          </w:tblCellMar>
        </w:tblPrEx>
        <w:tc>
          <w:tcPr>
            <w:tcW w:w="532" w:type="pct"/>
            <w:vMerge w:val="restar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5796CF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w:t>
            </w:r>
          </w:p>
        </w:tc>
        <w:tc>
          <w:tcPr>
            <w:tcW w:w="53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A7BB50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*-1</w:t>
            </w:r>
          </w:p>
        </w:tc>
        <w:tc>
          <w:tcPr>
            <w:tcW w:w="66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FB4BFD9">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326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71A3A10">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bidi="ar"/>
              </w:rPr>
              <w:t>供应商自行填写种类，并上传证明附件以便评审查看</w:t>
            </w:r>
          </w:p>
        </w:tc>
      </w:tr>
      <w:tr w14:paraId="13C64A36">
        <w:tblPrEx>
          <w:tblCellMar>
            <w:top w:w="0" w:type="dxa"/>
            <w:left w:w="0" w:type="dxa"/>
            <w:bottom w:w="0" w:type="dxa"/>
            <w:right w:w="0" w:type="dxa"/>
          </w:tblCellMar>
        </w:tblPrEx>
        <w:tc>
          <w:tcPr>
            <w:tcW w:w="532" w:type="pct"/>
            <w:vMerge w:val="continue"/>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988E82F">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53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83D22E2">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w:t>
            </w:r>
          </w:p>
        </w:tc>
        <w:tc>
          <w:tcPr>
            <w:tcW w:w="66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BFE74C7">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326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BBD61CE">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r>
      <w:tr w14:paraId="1C75020A">
        <w:tblPrEx>
          <w:tblCellMar>
            <w:top w:w="0" w:type="dxa"/>
            <w:left w:w="0" w:type="dxa"/>
            <w:bottom w:w="0" w:type="dxa"/>
            <w:right w:w="0" w:type="dxa"/>
          </w:tblCellMar>
        </w:tblPrEx>
        <w:tc>
          <w:tcPr>
            <w:tcW w:w="532"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34551E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备注</w:t>
            </w:r>
          </w:p>
        </w:tc>
        <w:tc>
          <w:tcPr>
            <w:tcW w:w="4467" w:type="pct"/>
            <w:gridSpan w:val="3"/>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3CA29C7">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r>
    </w:tbl>
    <w:p w14:paraId="7861C93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16A5766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1、对节能、环境标志产品计算价格扣除时，只依据电子投标（响应）文件“投标（响应）报价明细表”以及“优先类节能产品、环境标志产品证明材料（价格扣除适用，若有）。</w:t>
      </w:r>
    </w:p>
    <w:p w14:paraId="31E41CE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2、本表以采购包为单位，不同采购包请分别填写；同一采购包请按照其品目号顺序分别填写。</w:t>
      </w:r>
    </w:p>
    <w:p w14:paraId="41E333B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3、具体统计、计算：</w:t>
      </w:r>
    </w:p>
    <w:p w14:paraId="2F75583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3.1若同一采购包内的单个或多个货物取得或同时取得节能、环境标志产品等两项或多项认证的，均按照单个货物对应一项认证的原则统计、计算1次。</w:t>
      </w:r>
    </w:p>
    <w:p w14:paraId="39DA381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3.2计算结果若除不尽，可四舍五入保留到小数点后两位。</w:t>
      </w:r>
    </w:p>
    <w:p w14:paraId="78B8EAF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3.3投标人(供应商)按照采购文件要求认真统计、计算。</w:t>
      </w:r>
    </w:p>
    <w:p w14:paraId="11F8D78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3.4若无节能、环境标志产品，不填写本表。</w:t>
      </w:r>
    </w:p>
    <w:p w14:paraId="3B5F8F8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3.5强制类节能产品不享受价格扣除。</w:t>
      </w:r>
    </w:p>
    <w:p w14:paraId="1B8E131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（签字）</w:t>
      </w:r>
    </w:p>
    <w:p w14:paraId="572E000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0E3F20C5">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333333"/>
          <w:sz w:val="27"/>
          <w:szCs w:val="27"/>
          <w:shd w:val="clear" w:color="auto" w:fill="FFFFFF"/>
        </w:rPr>
      </w:pPr>
      <w:r>
        <w:rPr>
          <w:rFonts w:hint="eastAsia" w:ascii="宋体" w:hAnsi="宋体" w:eastAsia="宋体" w:cs="宋体"/>
          <w:b/>
          <w:bCs/>
          <w:color w:val="333333"/>
          <w:sz w:val="27"/>
          <w:szCs w:val="27"/>
          <w:shd w:val="clear" w:color="auto" w:fill="FFFFFF"/>
        </w:rPr>
        <w:br w:type="page"/>
      </w:r>
    </w:p>
    <w:p w14:paraId="43651174">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附件8要求作为响应文件组成部分的其他内容（若有）</w:t>
      </w:r>
    </w:p>
    <w:p w14:paraId="455FDA4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说明：</w:t>
      </w:r>
    </w:p>
    <w:p w14:paraId="7AF7671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采购人或采购代理机构可以根据项目的特点和需要，在磋商文件中对要求作为响应文件组成部分的其他内容进行具体规定或附表格式，供应商应按照磋商文件要求提供相关承诺及材料，并加盖供应商单位公章。</w:t>
      </w:r>
    </w:p>
    <w:p w14:paraId="4E11BAD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2、供应商根据自身实际情况编写有关资料包括如供应商单位简介、竞争性磋商文件要求提供或供应商自已认为体现自身优势，需要补充说明的其它资料，格式自拟。</w:t>
      </w:r>
    </w:p>
    <w:p w14:paraId="384BAD2A">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kern w:val="0"/>
          <w:sz w:val="24"/>
          <w:lang w:bidi="ar"/>
        </w:rPr>
        <w:br w:type="textWrapping"/>
      </w:r>
      <w:r>
        <w:rPr>
          <w:rFonts w:hint="eastAsia" w:ascii="宋体" w:hAnsi="宋体" w:eastAsia="宋体" w:cs="宋体"/>
          <w:kern w:val="0"/>
          <w:sz w:val="24"/>
          <w:lang w:bidi="ar"/>
        </w:rPr>
        <w:br w:type="textWrapping"/>
      </w:r>
    </w:p>
    <w:p w14:paraId="28F154F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39FC241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　　　</w:t>
      </w:r>
    </w:p>
    <w:p w14:paraId="447D509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02F1D32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53C34237">
      <w:pPr>
        <w:keepNext w:val="0"/>
        <w:keepLines w:val="0"/>
        <w:pageBreakBefore w:val="0"/>
        <w:kinsoku/>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br w:type="page"/>
      </w:r>
    </w:p>
    <w:p w14:paraId="244DE0A0">
      <w:pPr>
        <w:pStyle w:val="2"/>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sz w:val="78"/>
          <w:szCs w:val="78"/>
        </w:rPr>
      </w:pPr>
      <w:bookmarkStart w:id="15" w:name="_Toc4324"/>
      <w:r>
        <w:rPr>
          <w:rFonts w:hint="eastAsia" w:ascii="宋体" w:hAnsi="宋体" w:eastAsia="宋体" w:cs="宋体"/>
          <w:color w:val="333333"/>
          <w:sz w:val="78"/>
          <w:szCs w:val="78"/>
          <w:shd w:val="clear" w:color="auto" w:fill="FFFFFF"/>
        </w:rPr>
        <w:t>最终投标（响应）报价表</w:t>
      </w:r>
      <w:bookmarkEnd w:id="15"/>
    </w:p>
    <w:p w14:paraId="616F366F">
      <w:pPr>
        <w:keepNext w:val="0"/>
        <w:keepLines w:val="0"/>
        <w:pageBreakBefore w:val="0"/>
        <w:widowControl/>
        <w:shd w:val="clear" w:color="auto" w:fill="FFFFFF"/>
        <w:kinsoku/>
        <w:overflowPunct/>
        <w:topLinePunct w:val="0"/>
        <w:bidi w:val="0"/>
        <w:snapToGrid/>
        <w:spacing w:line="240" w:lineRule="auto"/>
        <w:jc w:val="left"/>
        <w:textAlignment w:val="auto"/>
        <w:rPr>
          <w:rFonts w:hint="default" w:ascii="宋体" w:hAnsi="宋体" w:eastAsia="宋体" w:cs="宋体"/>
          <w:color w:val="333333"/>
          <w:sz w:val="24"/>
          <w:lang w:val="en-US" w:eastAsia="zh-CN"/>
        </w:rPr>
      </w:pPr>
      <w:r>
        <w:rPr>
          <w:rFonts w:hint="eastAsia" w:ascii="宋体" w:hAnsi="宋体" w:eastAsia="宋体" w:cs="宋体"/>
          <w:color w:val="333333"/>
          <w:kern w:val="0"/>
          <w:sz w:val="24"/>
          <w:shd w:val="clear" w:color="auto" w:fill="FFFFFF"/>
          <w:lang w:bidi="ar"/>
        </w:rPr>
        <w:t>项目编号： </w:t>
      </w:r>
      <w:r>
        <w:rPr>
          <w:rFonts w:hint="eastAsia" w:ascii="宋体" w:hAnsi="宋体" w:eastAsia="宋体" w:cs="宋体"/>
          <w:color w:val="333333"/>
          <w:kern w:val="0"/>
          <w:sz w:val="24"/>
          <w:shd w:val="clear" w:color="auto" w:fill="FFFFFF"/>
          <w:lang w:eastAsia="zh-CN" w:bidi="ar"/>
        </w:rPr>
        <w:t>FJHTZ202</w:t>
      </w:r>
      <w:r>
        <w:rPr>
          <w:rFonts w:hint="eastAsia" w:ascii="宋体" w:hAnsi="宋体" w:eastAsia="宋体" w:cs="宋体"/>
          <w:color w:val="333333"/>
          <w:kern w:val="0"/>
          <w:sz w:val="24"/>
          <w:shd w:val="clear" w:color="auto" w:fill="FFFFFF"/>
          <w:lang w:val="en-US" w:eastAsia="zh-CN" w:bidi="ar"/>
        </w:rPr>
        <w:t>6035</w:t>
      </w:r>
    </w:p>
    <w:p w14:paraId="320B6E25">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eastAsia="zh-CN" w:bidi="ar"/>
        </w:rPr>
      </w:pPr>
      <w:r>
        <w:rPr>
          <w:rFonts w:hint="eastAsia" w:ascii="宋体" w:hAnsi="宋体" w:eastAsia="宋体" w:cs="宋体"/>
          <w:color w:val="333333"/>
          <w:kern w:val="0"/>
          <w:sz w:val="24"/>
          <w:shd w:val="clear" w:color="auto" w:fill="FFFFFF"/>
          <w:lang w:bidi="ar"/>
        </w:rPr>
        <w:t>项目名称： </w:t>
      </w:r>
      <w:r>
        <w:rPr>
          <w:rFonts w:hint="eastAsia" w:ascii="宋体" w:hAnsi="宋体" w:eastAsia="宋体" w:cs="宋体"/>
          <w:color w:val="333333"/>
          <w:kern w:val="0"/>
          <w:sz w:val="24"/>
          <w:shd w:val="clear" w:color="auto" w:fill="FFFFFF"/>
          <w:lang w:eastAsia="zh-CN" w:bidi="ar"/>
        </w:rPr>
        <w:t>仙游县县域医共体消毒供应中心的双列货架等项目</w:t>
      </w:r>
    </w:p>
    <w:p w14:paraId="38ACA268">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bidi="ar"/>
        </w:rPr>
      </w:pPr>
      <w:r>
        <w:rPr>
          <w:rFonts w:hint="eastAsia" w:ascii="宋体" w:hAnsi="宋体" w:eastAsia="宋体" w:cs="宋体"/>
          <w:color w:val="333333"/>
          <w:kern w:val="0"/>
          <w:sz w:val="24"/>
          <w:shd w:val="clear" w:color="auto" w:fill="FFFFFF"/>
          <w:lang w:bidi="ar"/>
        </w:rPr>
        <w:t>包号： 1</w:t>
      </w:r>
    </w:p>
    <w:p w14:paraId="7BA2BFF2">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val="en-US" w:eastAsia="zh-CN" w:bidi="ar"/>
        </w:rPr>
      </w:pPr>
      <w:r>
        <w:rPr>
          <w:rFonts w:hint="eastAsia" w:ascii="宋体" w:hAnsi="宋体" w:eastAsia="宋体" w:cs="宋体"/>
          <w:color w:val="333333"/>
          <w:kern w:val="0"/>
          <w:sz w:val="24"/>
          <w:shd w:val="clear" w:color="auto" w:fill="FFFFFF"/>
          <w:lang w:val="en-US" w:eastAsia="zh-CN" w:bidi="ar"/>
        </w:rPr>
        <w:t>供应商名称：</w:t>
      </w:r>
    </w:p>
    <w:p w14:paraId="6B23F62B">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bidi="ar"/>
        </w:rPr>
      </w:pPr>
    </w:p>
    <w:tbl>
      <w:tblPr>
        <w:tblStyle w:val="19"/>
        <w:tblW w:w="5000" w:type="pct"/>
        <w:tblInd w:w="0" w:type="dxa"/>
        <w:tblLayout w:type="autofit"/>
        <w:tblCellMar>
          <w:top w:w="0" w:type="dxa"/>
          <w:left w:w="0" w:type="dxa"/>
          <w:bottom w:w="0" w:type="dxa"/>
          <w:right w:w="0" w:type="dxa"/>
        </w:tblCellMar>
      </w:tblPr>
      <w:tblGrid>
        <w:gridCol w:w="967"/>
        <w:gridCol w:w="3941"/>
        <w:gridCol w:w="1972"/>
        <w:gridCol w:w="1385"/>
        <w:gridCol w:w="1613"/>
      </w:tblGrid>
      <w:tr w14:paraId="5BAACC2A">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9114002">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序号</w:t>
            </w:r>
          </w:p>
        </w:tc>
        <w:tc>
          <w:tcPr>
            <w:tcW w:w="1995"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F99BB55">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报价内容</w:t>
            </w:r>
          </w:p>
        </w:tc>
        <w:tc>
          <w:tcPr>
            <w:tcW w:w="998"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0E32BFC">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最高限价</w:t>
            </w:r>
          </w:p>
        </w:tc>
        <w:tc>
          <w:tcPr>
            <w:tcW w:w="701"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12C9C1B">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响应报价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E7FB87A">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价款形式</w:t>
            </w:r>
          </w:p>
        </w:tc>
      </w:tr>
      <w:tr w14:paraId="4BD41793">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0A1B071">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bidi="ar"/>
              </w:rPr>
              <w:t>1</w:t>
            </w:r>
          </w:p>
        </w:tc>
        <w:tc>
          <w:tcPr>
            <w:tcW w:w="1995"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CB0E49A">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lang w:eastAsia="zh-CN"/>
              </w:rPr>
            </w:pPr>
            <w:r>
              <w:rPr>
                <w:rFonts w:hint="eastAsia" w:ascii="宋体" w:hAnsi="宋体" w:eastAsia="宋体" w:cs="宋体"/>
                <w:kern w:val="0"/>
                <w:sz w:val="24"/>
                <w:lang w:eastAsia="zh-CN" w:bidi="ar"/>
              </w:rPr>
              <w:t>仙游县县域医共体消毒供应中心的双列货架等项目</w:t>
            </w:r>
          </w:p>
        </w:tc>
        <w:tc>
          <w:tcPr>
            <w:tcW w:w="998"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5A9CD0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val="en-US" w:eastAsia="zh-CN" w:bidi="ar"/>
              </w:rPr>
              <w:t>180000.00</w:t>
            </w:r>
            <w:r>
              <w:rPr>
                <w:rFonts w:hint="eastAsia" w:ascii="宋体" w:hAnsi="宋体" w:eastAsia="宋体" w:cs="宋体"/>
                <w:kern w:val="0"/>
                <w:sz w:val="24"/>
                <w:lang w:bidi="ar"/>
              </w:rPr>
              <w:t>元</w:t>
            </w:r>
          </w:p>
        </w:tc>
        <w:tc>
          <w:tcPr>
            <w:tcW w:w="701"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B606934">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bidi="ar"/>
              </w:rPr>
              <w:t>元</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51B8ABE">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bidi="ar"/>
              </w:rPr>
              <w:t>总价</w:t>
            </w:r>
          </w:p>
        </w:tc>
      </w:tr>
    </w:tbl>
    <w:p w14:paraId="2BFC4682">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sz w:val="24"/>
        </w:rPr>
      </w:pPr>
      <w:r>
        <w:rPr>
          <w:rFonts w:hint="eastAsia" w:ascii="宋体" w:hAnsi="宋体" w:eastAsia="宋体" w:cs="宋体"/>
          <w:color w:val="333333"/>
          <w:kern w:val="0"/>
          <w:sz w:val="24"/>
          <w:shd w:val="clear" w:color="auto" w:fill="FFFFFF"/>
          <w:lang w:bidi="ar"/>
        </w:rPr>
        <w:t>备注：无</w:t>
      </w:r>
    </w:p>
    <w:p w14:paraId="05450199">
      <w:pPr>
        <w:pStyle w:val="15"/>
        <w:keepNext w:val="0"/>
        <w:keepLines w:val="0"/>
        <w:pageBreakBefore w:val="0"/>
        <w:widowControl/>
        <w:kinsoku/>
        <w:overflowPunct/>
        <w:topLinePunct w:val="0"/>
        <w:bidi w:val="0"/>
        <w:snapToGrid/>
        <w:spacing w:beforeAutospacing="0" w:afterAutospacing="0" w:line="240" w:lineRule="auto"/>
        <w:textAlignment w:val="auto"/>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　　（全称并加盖公章）　　</w:t>
      </w:r>
    </w:p>
    <w:p w14:paraId="7E72BCB6">
      <w:pPr>
        <w:pStyle w:val="15"/>
        <w:keepNext w:val="0"/>
        <w:keepLines w:val="0"/>
        <w:pageBreakBefore w:val="0"/>
        <w:widowControl/>
        <w:kinsoku/>
        <w:overflowPunct/>
        <w:topLinePunct w:val="0"/>
        <w:bidi w:val="0"/>
        <w:snapToGrid/>
        <w:spacing w:beforeAutospacing="0" w:afterAutospacing="0" w:line="240" w:lineRule="auto"/>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7173490F">
      <w:pPr>
        <w:keepNext w:val="0"/>
        <w:keepLines w:val="0"/>
        <w:pageBreakBefore w:val="0"/>
        <w:widowControl/>
        <w:shd w:val="clear" w:color="auto" w:fill="FFFFFF"/>
        <w:kinsoku/>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color w:val="333333"/>
          <w:kern w:val="0"/>
          <w:sz w:val="24"/>
          <w:shd w:val="clear" w:color="auto" w:fill="FFFFFF"/>
          <w:lang w:bidi="ar"/>
        </w:rPr>
        <w:t>                   </w:t>
      </w:r>
    </w:p>
    <w:sectPr>
      <w:footerReference r:id="rId4" w:type="default"/>
      <w:pgSz w:w="11906" w:h="16838"/>
      <w:pgMar w:top="1134" w:right="1134" w:bottom="1134" w:left="1134"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5AC22">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42316">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1FDB7">
                          <w:pPr>
                            <w:pStyle w:val="11"/>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111FDB7">
                    <w:pPr>
                      <w:pStyle w:val="11"/>
                    </w:pPr>
                    <w:r>
                      <w:fldChar w:fldCharType="begin"/>
                    </w:r>
                    <w:r>
                      <w:instrText xml:space="preserve"> PAGE  \* MERGEFORMAT </w:instrText>
                    </w:r>
                    <w:r>
                      <w:fldChar w:fldCharType="separate"/>
                    </w:r>
                    <w:r>
                      <w:t>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NkNGUwZjgwMjRlNDk4OWQ4M2MwMWNmZmNiZTY2YTgifQ=="/>
  </w:docVars>
  <w:rsids>
    <w:rsidRoot w:val="0066036F"/>
    <w:rsid w:val="001664E6"/>
    <w:rsid w:val="002C61F7"/>
    <w:rsid w:val="0066036F"/>
    <w:rsid w:val="009157CA"/>
    <w:rsid w:val="009B5BC1"/>
    <w:rsid w:val="009D7F9F"/>
    <w:rsid w:val="00A40483"/>
    <w:rsid w:val="00C33985"/>
    <w:rsid w:val="00CD1788"/>
    <w:rsid w:val="00D954CF"/>
    <w:rsid w:val="01001B5E"/>
    <w:rsid w:val="0123584C"/>
    <w:rsid w:val="01281F0F"/>
    <w:rsid w:val="019B6062"/>
    <w:rsid w:val="01D34B7C"/>
    <w:rsid w:val="01DE1773"/>
    <w:rsid w:val="01E44FDB"/>
    <w:rsid w:val="02070CCA"/>
    <w:rsid w:val="02467A44"/>
    <w:rsid w:val="02787D23"/>
    <w:rsid w:val="02A36C44"/>
    <w:rsid w:val="02F2197A"/>
    <w:rsid w:val="030A6CC4"/>
    <w:rsid w:val="034D4B53"/>
    <w:rsid w:val="038D3451"/>
    <w:rsid w:val="04243DB5"/>
    <w:rsid w:val="04A81F12"/>
    <w:rsid w:val="04B0389B"/>
    <w:rsid w:val="04B35443"/>
    <w:rsid w:val="04F574FF"/>
    <w:rsid w:val="05092FAB"/>
    <w:rsid w:val="052B2F21"/>
    <w:rsid w:val="056656A4"/>
    <w:rsid w:val="05685F23"/>
    <w:rsid w:val="06383B48"/>
    <w:rsid w:val="06EC66E0"/>
    <w:rsid w:val="073A55AE"/>
    <w:rsid w:val="073C0CC4"/>
    <w:rsid w:val="0748600C"/>
    <w:rsid w:val="075F77F4"/>
    <w:rsid w:val="07962E0F"/>
    <w:rsid w:val="079E5C2C"/>
    <w:rsid w:val="07E13D6B"/>
    <w:rsid w:val="07FE6A73"/>
    <w:rsid w:val="0808579C"/>
    <w:rsid w:val="08404F2B"/>
    <w:rsid w:val="084A7B62"/>
    <w:rsid w:val="089E3A0A"/>
    <w:rsid w:val="08B65B25"/>
    <w:rsid w:val="0902043D"/>
    <w:rsid w:val="09336848"/>
    <w:rsid w:val="0955045F"/>
    <w:rsid w:val="0969226A"/>
    <w:rsid w:val="0A0C1573"/>
    <w:rsid w:val="0B0A5387"/>
    <w:rsid w:val="0B372620"/>
    <w:rsid w:val="0B6E1DBA"/>
    <w:rsid w:val="0BE37E56"/>
    <w:rsid w:val="0BF422BF"/>
    <w:rsid w:val="0C116D7F"/>
    <w:rsid w:val="0C1B3CF0"/>
    <w:rsid w:val="0C25691C"/>
    <w:rsid w:val="0C6C62F9"/>
    <w:rsid w:val="0D044784"/>
    <w:rsid w:val="0D222E5C"/>
    <w:rsid w:val="0D335069"/>
    <w:rsid w:val="0D731909"/>
    <w:rsid w:val="0D8B27AF"/>
    <w:rsid w:val="0E2350DD"/>
    <w:rsid w:val="0E4D215A"/>
    <w:rsid w:val="0E602CB4"/>
    <w:rsid w:val="0E9953A0"/>
    <w:rsid w:val="0EA37FCC"/>
    <w:rsid w:val="0ED2440E"/>
    <w:rsid w:val="0ED91C40"/>
    <w:rsid w:val="0FA67D74"/>
    <w:rsid w:val="0FEE5277"/>
    <w:rsid w:val="0FFF7484"/>
    <w:rsid w:val="103510F8"/>
    <w:rsid w:val="108A32F3"/>
    <w:rsid w:val="11763776"/>
    <w:rsid w:val="11AB4B46"/>
    <w:rsid w:val="11EE155E"/>
    <w:rsid w:val="121F796A"/>
    <w:rsid w:val="12A604AE"/>
    <w:rsid w:val="12AA1929"/>
    <w:rsid w:val="134F0723"/>
    <w:rsid w:val="13702B73"/>
    <w:rsid w:val="137F4B64"/>
    <w:rsid w:val="13F07810"/>
    <w:rsid w:val="14956609"/>
    <w:rsid w:val="150D619F"/>
    <w:rsid w:val="154C6CC8"/>
    <w:rsid w:val="15B30AF5"/>
    <w:rsid w:val="15D430FD"/>
    <w:rsid w:val="160E0421"/>
    <w:rsid w:val="164B51D1"/>
    <w:rsid w:val="168B7CC4"/>
    <w:rsid w:val="1695469E"/>
    <w:rsid w:val="16AA639C"/>
    <w:rsid w:val="16C3745D"/>
    <w:rsid w:val="1719707D"/>
    <w:rsid w:val="172B6DB1"/>
    <w:rsid w:val="17400AAE"/>
    <w:rsid w:val="17B60D70"/>
    <w:rsid w:val="17C14477"/>
    <w:rsid w:val="17D15BAA"/>
    <w:rsid w:val="18463EA2"/>
    <w:rsid w:val="192F2B88"/>
    <w:rsid w:val="19946E8F"/>
    <w:rsid w:val="19A8293B"/>
    <w:rsid w:val="19D92AF4"/>
    <w:rsid w:val="1B3E5305"/>
    <w:rsid w:val="1B5C578B"/>
    <w:rsid w:val="1B8076CB"/>
    <w:rsid w:val="1B9F57F5"/>
    <w:rsid w:val="1BAD4238"/>
    <w:rsid w:val="1BB6133F"/>
    <w:rsid w:val="1BDE2644"/>
    <w:rsid w:val="1D1502E7"/>
    <w:rsid w:val="1D6A0633"/>
    <w:rsid w:val="1D840FC9"/>
    <w:rsid w:val="1DEF0B38"/>
    <w:rsid w:val="1E1816FE"/>
    <w:rsid w:val="1E262080"/>
    <w:rsid w:val="1E472722"/>
    <w:rsid w:val="1E6C2189"/>
    <w:rsid w:val="1ECC0E79"/>
    <w:rsid w:val="1F02489B"/>
    <w:rsid w:val="1F6D440A"/>
    <w:rsid w:val="1F784B5D"/>
    <w:rsid w:val="1FA53BA4"/>
    <w:rsid w:val="1FAD26C4"/>
    <w:rsid w:val="1FDC333E"/>
    <w:rsid w:val="1FF71F26"/>
    <w:rsid w:val="202A40A9"/>
    <w:rsid w:val="20566C4C"/>
    <w:rsid w:val="2059673D"/>
    <w:rsid w:val="205D447F"/>
    <w:rsid w:val="20607ACB"/>
    <w:rsid w:val="22396826"/>
    <w:rsid w:val="22631AF5"/>
    <w:rsid w:val="22885A35"/>
    <w:rsid w:val="228D0920"/>
    <w:rsid w:val="22914E40"/>
    <w:rsid w:val="22965A26"/>
    <w:rsid w:val="229F6E75"/>
    <w:rsid w:val="23A02A67"/>
    <w:rsid w:val="23A3664D"/>
    <w:rsid w:val="23CE7442"/>
    <w:rsid w:val="23E71C7C"/>
    <w:rsid w:val="242552B4"/>
    <w:rsid w:val="242A28CA"/>
    <w:rsid w:val="24D64800"/>
    <w:rsid w:val="24EA2059"/>
    <w:rsid w:val="250F7D12"/>
    <w:rsid w:val="25284930"/>
    <w:rsid w:val="25AB17E9"/>
    <w:rsid w:val="26094761"/>
    <w:rsid w:val="260E4ADB"/>
    <w:rsid w:val="26844568"/>
    <w:rsid w:val="268F2EB8"/>
    <w:rsid w:val="26C32B62"/>
    <w:rsid w:val="272555CB"/>
    <w:rsid w:val="27335F39"/>
    <w:rsid w:val="273553EC"/>
    <w:rsid w:val="274F0899"/>
    <w:rsid w:val="275D4D64"/>
    <w:rsid w:val="27822A1D"/>
    <w:rsid w:val="279F537D"/>
    <w:rsid w:val="27A9599F"/>
    <w:rsid w:val="27C2106B"/>
    <w:rsid w:val="27C43035"/>
    <w:rsid w:val="27F06AD8"/>
    <w:rsid w:val="2802590C"/>
    <w:rsid w:val="28245882"/>
    <w:rsid w:val="289B3D96"/>
    <w:rsid w:val="28A412EF"/>
    <w:rsid w:val="28BA7F95"/>
    <w:rsid w:val="28C8445F"/>
    <w:rsid w:val="28EE0652"/>
    <w:rsid w:val="294C32E2"/>
    <w:rsid w:val="296606DF"/>
    <w:rsid w:val="29AE18A7"/>
    <w:rsid w:val="29D55086"/>
    <w:rsid w:val="2A07545B"/>
    <w:rsid w:val="2A3A75DF"/>
    <w:rsid w:val="2A4A05F0"/>
    <w:rsid w:val="2A6D0DFD"/>
    <w:rsid w:val="2A716252"/>
    <w:rsid w:val="2A750617"/>
    <w:rsid w:val="2A9F5694"/>
    <w:rsid w:val="2AF53506"/>
    <w:rsid w:val="2B9B22FF"/>
    <w:rsid w:val="2BDF21EC"/>
    <w:rsid w:val="2C9F197B"/>
    <w:rsid w:val="2CA451E4"/>
    <w:rsid w:val="2CA90EC9"/>
    <w:rsid w:val="2CD51841"/>
    <w:rsid w:val="2D2B1461"/>
    <w:rsid w:val="2D686211"/>
    <w:rsid w:val="2D82184E"/>
    <w:rsid w:val="2DCE076A"/>
    <w:rsid w:val="2DF14458"/>
    <w:rsid w:val="2E731311"/>
    <w:rsid w:val="2E9D013C"/>
    <w:rsid w:val="2EB07E70"/>
    <w:rsid w:val="2EFC30B5"/>
    <w:rsid w:val="2EFE2F2E"/>
    <w:rsid w:val="2FB90FA6"/>
    <w:rsid w:val="300E374A"/>
    <w:rsid w:val="30180DF4"/>
    <w:rsid w:val="3050190A"/>
    <w:rsid w:val="305B680C"/>
    <w:rsid w:val="3075311F"/>
    <w:rsid w:val="307D1FD3"/>
    <w:rsid w:val="30B26121"/>
    <w:rsid w:val="31102E48"/>
    <w:rsid w:val="322F554F"/>
    <w:rsid w:val="326276D3"/>
    <w:rsid w:val="327F73B7"/>
    <w:rsid w:val="328A6C2A"/>
    <w:rsid w:val="32A95302"/>
    <w:rsid w:val="32D3412D"/>
    <w:rsid w:val="337E6A42"/>
    <w:rsid w:val="33B71CA0"/>
    <w:rsid w:val="33C85C5B"/>
    <w:rsid w:val="33CB74FA"/>
    <w:rsid w:val="33D068BE"/>
    <w:rsid w:val="33F46A50"/>
    <w:rsid w:val="346C539C"/>
    <w:rsid w:val="34AC732B"/>
    <w:rsid w:val="35103416"/>
    <w:rsid w:val="35A41DB0"/>
    <w:rsid w:val="35D116D8"/>
    <w:rsid w:val="35E6061B"/>
    <w:rsid w:val="35FB40C6"/>
    <w:rsid w:val="35FF0CC4"/>
    <w:rsid w:val="360F7B72"/>
    <w:rsid w:val="361C5DEB"/>
    <w:rsid w:val="364F4412"/>
    <w:rsid w:val="36624145"/>
    <w:rsid w:val="36B6623F"/>
    <w:rsid w:val="36CC5A63"/>
    <w:rsid w:val="36F17277"/>
    <w:rsid w:val="3781684D"/>
    <w:rsid w:val="3790083E"/>
    <w:rsid w:val="37AF33BA"/>
    <w:rsid w:val="37B91A12"/>
    <w:rsid w:val="37BA68D2"/>
    <w:rsid w:val="37C91FA2"/>
    <w:rsid w:val="37E868CC"/>
    <w:rsid w:val="38397128"/>
    <w:rsid w:val="38445A2A"/>
    <w:rsid w:val="385E093C"/>
    <w:rsid w:val="388F271C"/>
    <w:rsid w:val="38C369F1"/>
    <w:rsid w:val="390F7E89"/>
    <w:rsid w:val="3929250D"/>
    <w:rsid w:val="394E6C03"/>
    <w:rsid w:val="39534219"/>
    <w:rsid w:val="39551D3F"/>
    <w:rsid w:val="39DC6679"/>
    <w:rsid w:val="3A2D7387"/>
    <w:rsid w:val="3A4818A4"/>
    <w:rsid w:val="3A60099C"/>
    <w:rsid w:val="3A7C154E"/>
    <w:rsid w:val="3AF86E26"/>
    <w:rsid w:val="3B247C1B"/>
    <w:rsid w:val="3B36794F"/>
    <w:rsid w:val="3B5A363D"/>
    <w:rsid w:val="3B5F6EA5"/>
    <w:rsid w:val="3B8E778B"/>
    <w:rsid w:val="3BA743A8"/>
    <w:rsid w:val="3BF70E8C"/>
    <w:rsid w:val="3C1934F8"/>
    <w:rsid w:val="3C4F553C"/>
    <w:rsid w:val="3C6D55F2"/>
    <w:rsid w:val="3C885F88"/>
    <w:rsid w:val="3C8E33B5"/>
    <w:rsid w:val="3CB90837"/>
    <w:rsid w:val="3CFB0E50"/>
    <w:rsid w:val="3D8A63A1"/>
    <w:rsid w:val="3E3F2FBE"/>
    <w:rsid w:val="3E7569E0"/>
    <w:rsid w:val="3E78337D"/>
    <w:rsid w:val="3E8D3D29"/>
    <w:rsid w:val="3EEC2B1F"/>
    <w:rsid w:val="3EEF0540"/>
    <w:rsid w:val="3F656A54"/>
    <w:rsid w:val="3F6E3B5B"/>
    <w:rsid w:val="3F732F1F"/>
    <w:rsid w:val="40077B0C"/>
    <w:rsid w:val="402B37FA"/>
    <w:rsid w:val="406E36E7"/>
    <w:rsid w:val="40A96EE4"/>
    <w:rsid w:val="41546D80"/>
    <w:rsid w:val="41A75102"/>
    <w:rsid w:val="41C81D18"/>
    <w:rsid w:val="42213106"/>
    <w:rsid w:val="422C1AAB"/>
    <w:rsid w:val="4298502E"/>
    <w:rsid w:val="42B23D5F"/>
    <w:rsid w:val="42BA70B7"/>
    <w:rsid w:val="42DF6B1E"/>
    <w:rsid w:val="438A4CDB"/>
    <w:rsid w:val="4416656F"/>
    <w:rsid w:val="446948F1"/>
    <w:rsid w:val="44A744A4"/>
    <w:rsid w:val="44A92F3F"/>
    <w:rsid w:val="44C32E21"/>
    <w:rsid w:val="455F7341"/>
    <w:rsid w:val="458B6AE9"/>
    <w:rsid w:val="45973E3A"/>
    <w:rsid w:val="461B60BF"/>
    <w:rsid w:val="468C2B19"/>
    <w:rsid w:val="46B207D1"/>
    <w:rsid w:val="46D85D5E"/>
    <w:rsid w:val="46E110B6"/>
    <w:rsid w:val="46E12E64"/>
    <w:rsid w:val="46E42955"/>
    <w:rsid w:val="47E14256"/>
    <w:rsid w:val="48233009"/>
    <w:rsid w:val="482E20D9"/>
    <w:rsid w:val="48455675"/>
    <w:rsid w:val="484B1FB2"/>
    <w:rsid w:val="48693111"/>
    <w:rsid w:val="48A27589"/>
    <w:rsid w:val="499C3073"/>
    <w:rsid w:val="49B22896"/>
    <w:rsid w:val="49DC3DB7"/>
    <w:rsid w:val="4A0A0193"/>
    <w:rsid w:val="4A357E65"/>
    <w:rsid w:val="4A5D316C"/>
    <w:rsid w:val="4AA91EEB"/>
    <w:rsid w:val="4AD52CE0"/>
    <w:rsid w:val="4B3774F7"/>
    <w:rsid w:val="4B3F63AB"/>
    <w:rsid w:val="4B6D116B"/>
    <w:rsid w:val="4B841097"/>
    <w:rsid w:val="4B991F60"/>
    <w:rsid w:val="4BC44B03"/>
    <w:rsid w:val="4C0F3FD0"/>
    <w:rsid w:val="4C641897"/>
    <w:rsid w:val="4C87206F"/>
    <w:rsid w:val="4CDD78C2"/>
    <w:rsid w:val="4CF66F3E"/>
    <w:rsid w:val="4DAE7818"/>
    <w:rsid w:val="4E5B79A0"/>
    <w:rsid w:val="4E946A0E"/>
    <w:rsid w:val="4EC866B8"/>
    <w:rsid w:val="4EDB463D"/>
    <w:rsid w:val="4EE94FAC"/>
    <w:rsid w:val="4F4B17C3"/>
    <w:rsid w:val="4F6C34E7"/>
    <w:rsid w:val="505C381C"/>
    <w:rsid w:val="507E1724"/>
    <w:rsid w:val="50A10F71"/>
    <w:rsid w:val="50EF617E"/>
    <w:rsid w:val="510B71B7"/>
    <w:rsid w:val="51340035"/>
    <w:rsid w:val="514E559A"/>
    <w:rsid w:val="51736DAF"/>
    <w:rsid w:val="51B15AFF"/>
    <w:rsid w:val="521E3190"/>
    <w:rsid w:val="52383B54"/>
    <w:rsid w:val="525A7F6F"/>
    <w:rsid w:val="53057EDB"/>
    <w:rsid w:val="532769F8"/>
    <w:rsid w:val="53430A03"/>
    <w:rsid w:val="536B2AC5"/>
    <w:rsid w:val="53B042EA"/>
    <w:rsid w:val="53D121ED"/>
    <w:rsid w:val="53D55AFF"/>
    <w:rsid w:val="53FB6FBC"/>
    <w:rsid w:val="54574766"/>
    <w:rsid w:val="549F2C45"/>
    <w:rsid w:val="54A83213"/>
    <w:rsid w:val="54BB2F47"/>
    <w:rsid w:val="54FB77E7"/>
    <w:rsid w:val="55083CB2"/>
    <w:rsid w:val="557E3F74"/>
    <w:rsid w:val="55E11C1C"/>
    <w:rsid w:val="55E262B1"/>
    <w:rsid w:val="560C1580"/>
    <w:rsid w:val="56682C5A"/>
    <w:rsid w:val="566B44F9"/>
    <w:rsid w:val="567C60CD"/>
    <w:rsid w:val="56B440F1"/>
    <w:rsid w:val="56CB6BCD"/>
    <w:rsid w:val="56D227CA"/>
    <w:rsid w:val="56F02C50"/>
    <w:rsid w:val="5705494D"/>
    <w:rsid w:val="573C5E95"/>
    <w:rsid w:val="574134AB"/>
    <w:rsid w:val="575E5E0B"/>
    <w:rsid w:val="57E13139"/>
    <w:rsid w:val="581110D0"/>
    <w:rsid w:val="582A0030"/>
    <w:rsid w:val="5846521D"/>
    <w:rsid w:val="58F03DEC"/>
    <w:rsid w:val="58F44C79"/>
    <w:rsid w:val="59266DFD"/>
    <w:rsid w:val="59441031"/>
    <w:rsid w:val="5976568E"/>
    <w:rsid w:val="59DC64BF"/>
    <w:rsid w:val="59F42A57"/>
    <w:rsid w:val="59FA5AF9"/>
    <w:rsid w:val="5A0F37BA"/>
    <w:rsid w:val="5A1924BD"/>
    <w:rsid w:val="5A2C21F1"/>
    <w:rsid w:val="5AB61575"/>
    <w:rsid w:val="5B1A015D"/>
    <w:rsid w:val="5B266C40"/>
    <w:rsid w:val="5B4973DB"/>
    <w:rsid w:val="5B975D90"/>
    <w:rsid w:val="5BC36B85"/>
    <w:rsid w:val="5C68715E"/>
    <w:rsid w:val="5C7659A5"/>
    <w:rsid w:val="5CC606DB"/>
    <w:rsid w:val="5CD728E8"/>
    <w:rsid w:val="5D0F0552"/>
    <w:rsid w:val="5D7243BE"/>
    <w:rsid w:val="5D812854"/>
    <w:rsid w:val="5D9E51B4"/>
    <w:rsid w:val="5DB46785"/>
    <w:rsid w:val="5DFD28B3"/>
    <w:rsid w:val="5E5D6E1D"/>
    <w:rsid w:val="5EA762EA"/>
    <w:rsid w:val="5EB50A07"/>
    <w:rsid w:val="5EB822A5"/>
    <w:rsid w:val="5EDA221B"/>
    <w:rsid w:val="5F266EBE"/>
    <w:rsid w:val="5F506981"/>
    <w:rsid w:val="5F5F4E16"/>
    <w:rsid w:val="5F7719C7"/>
    <w:rsid w:val="5FEF619A"/>
    <w:rsid w:val="60065292"/>
    <w:rsid w:val="6045400C"/>
    <w:rsid w:val="604A33D1"/>
    <w:rsid w:val="606D5311"/>
    <w:rsid w:val="60714E01"/>
    <w:rsid w:val="61077514"/>
    <w:rsid w:val="61113EEE"/>
    <w:rsid w:val="611B4D6D"/>
    <w:rsid w:val="613F7BCA"/>
    <w:rsid w:val="61447E20"/>
    <w:rsid w:val="616136D5"/>
    <w:rsid w:val="6162299C"/>
    <w:rsid w:val="621B1D2A"/>
    <w:rsid w:val="623460E6"/>
    <w:rsid w:val="62FB09B2"/>
    <w:rsid w:val="63BF40D6"/>
    <w:rsid w:val="63E1229E"/>
    <w:rsid w:val="63EB6C79"/>
    <w:rsid w:val="641331F9"/>
    <w:rsid w:val="643E324C"/>
    <w:rsid w:val="649317EA"/>
    <w:rsid w:val="649B244D"/>
    <w:rsid w:val="64A21A2D"/>
    <w:rsid w:val="64F25DE5"/>
    <w:rsid w:val="65677DD4"/>
    <w:rsid w:val="65FF6A0B"/>
    <w:rsid w:val="660404C6"/>
    <w:rsid w:val="66456B14"/>
    <w:rsid w:val="66486604"/>
    <w:rsid w:val="66550C7C"/>
    <w:rsid w:val="665A00E6"/>
    <w:rsid w:val="66853E1C"/>
    <w:rsid w:val="66BE0674"/>
    <w:rsid w:val="66D93700"/>
    <w:rsid w:val="675A2F37"/>
    <w:rsid w:val="67A91325"/>
    <w:rsid w:val="67B83316"/>
    <w:rsid w:val="680C5410"/>
    <w:rsid w:val="682B7F8C"/>
    <w:rsid w:val="6841155D"/>
    <w:rsid w:val="68437083"/>
    <w:rsid w:val="685C0145"/>
    <w:rsid w:val="68686AEA"/>
    <w:rsid w:val="68D20407"/>
    <w:rsid w:val="69054339"/>
    <w:rsid w:val="697014BE"/>
    <w:rsid w:val="69F820EF"/>
    <w:rsid w:val="6A040A94"/>
    <w:rsid w:val="6A2B221E"/>
    <w:rsid w:val="6A521800"/>
    <w:rsid w:val="6A792BE3"/>
    <w:rsid w:val="6AD52549"/>
    <w:rsid w:val="6ADE7537"/>
    <w:rsid w:val="6B2F38EF"/>
    <w:rsid w:val="6B576BEB"/>
    <w:rsid w:val="6BC06C3D"/>
    <w:rsid w:val="6C9F6852"/>
    <w:rsid w:val="6CC12C6C"/>
    <w:rsid w:val="6D35228E"/>
    <w:rsid w:val="6D5B6C1D"/>
    <w:rsid w:val="6D9640F9"/>
    <w:rsid w:val="6DAC56CB"/>
    <w:rsid w:val="6DE5298B"/>
    <w:rsid w:val="6DE837F5"/>
    <w:rsid w:val="6E0144F7"/>
    <w:rsid w:val="6E130205"/>
    <w:rsid w:val="6E963C85"/>
    <w:rsid w:val="6F411E2D"/>
    <w:rsid w:val="6F5E5E33"/>
    <w:rsid w:val="6F660B27"/>
    <w:rsid w:val="6F855D7C"/>
    <w:rsid w:val="6F912DCA"/>
    <w:rsid w:val="6F9D6860"/>
    <w:rsid w:val="70926DFA"/>
    <w:rsid w:val="709C1A26"/>
    <w:rsid w:val="70CA3E6A"/>
    <w:rsid w:val="711517D9"/>
    <w:rsid w:val="71221EB7"/>
    <w:rsid w:val="719C7804"/>
    <w:rsid w:val="71A20079"/>
    <w:rsid w:val="71A861A9"/>
    <w:rsid w:val="71CA4371"/>
    <w:rsid w:val="71E54313"/>
    <w:rsid w:val="71E573FD"/>
    <w:rsid w:val="71EB7894"/>
    <w:rsid w:val="72343EE1"/>
    <w:rsid w:val="72DB435C"/>
    <w:rsid w:val="72F5541E"/>
    <w:rsid w:val="73686D80"/>
    <w:rsid w:val="738A200A"/>
    <w:rsid w:val="740022CC"/>
    <w:rsid w:val="74E7348C"/>
    <w:rsid w:val="755503F6"/>
    <w:rsid w:val="75750A98"/>
    <w:rsid w:val="75892893"/>
    <w:rsid w:val="759F5B15"/>
    <w:rsid w:val="75B07D22"/>
    <w:rsid w:val="769B62DC"/>
    <w:rsid w:val="76DF266D"/>
    <w:rsid w:val="773D41CF"/>
    <w:rsid w:val="776B5326"/>
    <w:rsid w:val="77955421"/>
    <w:rsid w:val="779E5BFE"/>
    <w:rsid w:val="77B87094"/>
    <w:rsid w:val="77E141C3"/>
    <w:rsid w:val="780D320A"/>
    <w:rsid w:val="78411F23"/>
    <w:rsid w:val="7852471D"/>
    <w:rsid w:val="7866291A"/>
    <w:rsid w:val="78A7540C"/>
    <w:rsid w:val="790F4D60"/>
    <w:rsid w:val="79110AD8"/>
    <w:rsid w:val="793F5645"/>
    <w:rsid w:val="794013BD"/>
    <w:rsid w:val="79532E9E"/>
    <w:rsid w:val="79F44681"/>
    <w:rsid w:val="79FD2631"/>
    <w:rsid w:val="7A0D5743"/>
    <w:rsid w:val="7A2B7977"/>
    <w:rsid w:val="7A8377B3"/>
    <w:rsid w:val="7B2014A6"/>
    <w:rsid w:val="7B2E6262"/>
    <w:rsid w:val="7B902188"/>
    <w:rsid w:val="7B9854E0"/>
    <w:rsid w:val="7BD06A28"/>
    <w:rsid w:val="7BD36518"/>
    <w:rsid w:val="7C4F2043"/>
    <w:rsid w:val="7CD51E1C"/>
    <w:rsid w:val="7CD82038"/>
    <w:rsid w:val="7D0746CC"/>
    <w:rsid w:val="7D0F3580"/>
    <w:rsid w:val="7D3B6123"/>
    <w:rsid w:val="7D581BBE"/>
    <w:rsid w:val="7DDA3B8E"/>
    <w:rsid w:val="7E843AFA"/>
    <w:rsid w:val="7EA50524"/>
    <w:rsid w:val="7ED76320"/>
    <w:rsid w:val="7F203823"/>
    <w:rsid w:val="7F453289"/>
    <w:rsid w:val="7F533BF8"/>
    <w:rsid w:val="7FD30895"/>
    <w:rsid w:val="7FD36AE7"/>
    <w:rsid w:val="7FE304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unhideWhenUsed/>
    <w:qFormat/>
    <w:uiPriority w:val="0"/>
    <w:pPr>
      <w:spacing w:beforeAutospacing="0" w:afterAutospacing="0" w:line="360" w:lineRule="auto"/>
      <w:ind w:firstLine="1446" w:firstLineChars="200"/>
      <w:jc w:val="left"/>
      <w:outlineLvl w:val="1"/>
    </w:pPr>
    <w:rPr>
      <w:rFonts w:hint="eastAsia" w:ascii="宋体" w:hAnsi="宋体" w:eastAsia="宋体" w:cs="Times New Roman"/>
      <w:b/>
      <w:bCs/>
      <w:kern w:val="0"/>
      <w:sz w:val="28"/>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paragraph" w:styleId="6">
    <w:name w:val="heading 5"/>
    <w:basedOn w:val="1"/>
    <w:next w:val="1"/>
    <w:semiHidden/>
    <w:unhideWhenUsed/>
    <w:qFormat/>
    <w:uiPriority w:val="0"/>
    <w:pPr>
      <w:spacing w:beforeAutospacing="1" w:afterAutospacing="1"/>
      <w:jc w:val="left"/>
      <w:outlineLvl w:val="4"/>
    </w:pPr>
    <w:rPr>
      <w:rFonts w:hint="eastAsia" w:ascii="宋体" w:hAnsi="宋体" w:eastAsia="宋体" w:cs="Times New Roman"/>
      <w:b/>
      <w:bCs/>
      <w:kern w:val="0"/>
      <w:sz w:val="20"/>
      <w:szCs w:val="20"/>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widowControl w:val="0"/>
      <w:ind w:firstLine="420"/>
      <w:jc w:val="both"/>
    </w:pPr>
    <w:rPr>
      <w:rFonts w:asciiTheme="minorHAnsi" w:hAnsiTheme="minorHAnsi" w:eastAsiaTheme="minorEastAsia" w:cstheme="minorBidi"/>
      <w:kern w:val="2"/>
      <w:sz w:val="21"/>
      <w:szCs w:val="24"/>
      <w:lang w:val="en-US" w:eastAsia="zh-CN" w:bidi="ar-SA"/>
    </w:rPr>
  </w:style>
  <w:style w:type="paragraph" w:styleId="8">
    <w:name w:val="annotation text"/>
    <w:basedOn w:val="1"/>
    <w:qFormat/>
    <w:uiPriority w:val="0"/>
    <w:pPr>
      <w:jc w:val="left"/>
    </w:pPr>
  </w:style>
  <w:style w:type="paragraph" w:styleId="9">
    <w:name w:val="Body Text"/>
    <w:basedOn w:val="1"/>
    <w:qFormat/>
    <w:uiPriority w:val="0"/>
    <w:rPr>
      <w:rFonts w:ascii="仿宋_GB2312" w:hAnsi="宋体" w:eastAsia="仿宋_GB2312"/>
      <w:sz w:val="32"/>
    </w:rPr>
  </w:style>
  <w:style w:type="paragraph" w:styleId="10">
    <w:name w:val="Body Text Indent"/>
    <w:basedOn w:val="1"/>
    <w:next w:val="7"/>
    <w:qFormat/>
    <w:uiPriority w:val="99"/>
    <w:pPr>
      <w:spacing w:after="120"/>
      <w:ind w:left="420" w:leftChars="200"/>
    </w:pPr>
    <w:rPr>
      <w:rFonts w:ascii="Times New Roman" w:hAnsi="Times New Roman"/>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qFormat/>
    <w:uiPriority w:val="0"/>
    <w:pPr>
      <w:spacing w:beforeAutospacing="1" w:afterAutospacing="1"/>
      <w:jc w:val="left"/>
    </w:pPr>
    <w:rPr>
      <w:rFonts w:cs="Times New Roman"/>
      <w:kern w:val="0"/>
      <w:sz w:val="24"/>
    </w:rPr>
  </w:style>
  <w:style w:type="paragraph" w:styleId="16">
    <w:name w:val="Title"/>
    <w:basedOn w:val="1"/>
    <w:next w:val="1"/>
    <w:qFormat/>
    <w:uiPriority w:val="0"/>
    <w:pPr>
      <w:spacing w:before="240" w:after="60"/>
      <w:jc w:val="center"/>
      <w:outlineLvl w:val="0"/>
    </w:pPr>
    <w:rPr>
      <w:rFonts w:ascii="Cambria" w:hAnsi="Cambria"/>
      <w:b/>
      <w:bCs/>
      <w:sz w:val="32"/>
      <w:szCs w:val="32"/>
    </w:rPr>
  </w:style>
  <w:style w:type="paragraph" w:styleId="17">
    <w:name w:val="Body Text First Indent"/>
    <w:basedOn w:val="9"/>
    <w:qFormat/>
    <w:uiPriority w:val="0"/>
    <w:pPr>
      <w:spacing w:line="360" w:lineRule="auto"/>
      <w:ind w:firstLine="420" w:firstLineChars="100"/>
    </w:pPr>
    <w:rPr>
      <w:rFonts w:ascii="微软雅黑" w:hAnsi="微软雅黑" w:eastAsia="微软雅黑" w:cs="微软雅黑"/>
      <w:szCs w:val="21"/>
    </w:rPr>
  </w:style>
  <w:style w:type="paragraph" w:styleId="18">
    <w:name w:val="Body Text First Indent 2"/>
    <w:basedOn w:val="10"/>
    <w:qFormat/>
    <w:uiPriority w:val="99"/>
    <w:pPr>
      <w:ind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Hyperlink"/>
    <w:basedOn w:val="21"/>
    <w:qFormat/>
    <w:uiPriority w:val="0"/>
    <w:rPr>
      <w:color w:val="0000FF"/>
      <w:u w:val="single"/>
    </w:rPr>
  </w:style>
  <w:style w:type="paragraph" w:customStyle="1" w:styleId="24">
    <w:name w:val="null3"/>
    <w:hidden/>
    <w:qFormat/>
    <w:uiPriority w:val="0"/>
    <w:rPr>
      <w:rFonts w:hint="eastAsia" w:asciiTheme="minorHAnsi" w:hAnsiTheme="minorHAnsi" w:eastAsiaTheme="minorEastAsia" w:cstheme="minorBidi"/>
      <w:lang w:val="en-US" w:eastAsia="zh-Hans" w:bidi="ar-SA"/>
    </w:rPr>
  </w:style>
  <w:style w:type="paragraph" w:styleId="25">
    <w:name w:val="List Paragraph"/>
    <w:basedOn w:val="1"/>
    <w:qFormat/>
    <w:uiPriority w:val="34"/>
    <w:pPr>
      <w:ind w:firstLine="420" w:firstLineChars="200"/>
    </w:pPr>
  </w:style>
  <w:style w:type="paragraph" w:customStyle="1" w:styleId="26">
    <w:name w:val="PlainText"/>
    <w:qFormat/>
    <w:uiPriority w:val="0"/>
    <w:pPr>
      <w:widowControl w:val="0"/>
      <w:jc w:val="both"/>
      <w:textAlignment w:val="baseline"/>
    </w:pPr>
    <w:rPr>
      <w:rFonts w:ascii="宋体" w:hAnsi="Courier New" w:eastAsiaTheme="minorEastAsia" w:cstheme="minorBidi"/>
      <w:kern w:val="2"/>
      <w:sz w:val="21"/>
      <w:szCs w:val="21"/>
      <w:lang w:val="en-US" w:eastAsia="zh-CN" w:bidi="ar-SA"/>
    </w:rPr>
  </w:style>
  <w:style w:type="character" w:customStyle="1" w:styleId="27">
    <w:name w:val="NormalCharacter"/>
    <w:qFormat/>
    <w:uiPriority w:val="0"/>
    <w:rPr>
      <w:rFonts w:ascii="Calibri" w:hAnsi="Calibri" w:cs="Calibri"/>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DDDD</Company>
  <Pages>58</Pages>
  <Words>8855</Words>
  <Characters>9551</Characters>
  <Lines>1</Lines>
  <Paragraphs>1</Paragraphs>
  <TotalTime>270</TotalTime>
  <ScaleCrop>false</ScaleCrop>
  <LinksUpToDate>false</LinksUpToDate>
  <CharactersWithSpaces>9588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2024-11-11T11:56:00Z</dcterms:created>
  <dc:creator>TLMD</dc:creator>
  <cp:lastModifiedBy>鼻涕虫</cp:lastModifiedBy>
  <cp:lastPrinted>2025-03-03T07:20:00Z</cp:lastPrinted>
  <dcterms:modified xsi:type="dcterms:W3CDTF">2026-08-25T07:59:52Z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75BA17652D0D483994775A741441361A_13</vt:lpwstr>
  </property>
  <property fmtid="{D5CDD505-2E9C-101B-9397-08002B2CF9AE}" pid="4" name="KSOTemplateDocerSaveRecord">
    <vt:lpwstr>eyJoZGlkIjoiNDczOTc1Mjk5OThlYzAzODZhNTBjNzYxYTEyMjc5MTQiLCJ1c2VySWQiOiIzOTc4NTUyNjYifQ==</vt:lpwstr>
  </property>
</Properties>
</file>